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2846" w:type="dxa"/>
        <w:jc w:val="center"/>
        <w:tblLook w:val="01E0" w:firstRow="1" w:lastRow="1" w:firstColumn="1" w:lastColumn="1" w:noHBand="0" w:noVBand="0"/>
      </w:tblPr>
      <w:tblGrid>
        <w:gridCol w:w="6083"/>
        <w:gridCol w:w="6763"/>
      </w:tblGrid>
      <w:tr w:rsidR="000F6638" w14:paraId="3D499A4D" w14:textId="77777777">
        <w:trPr>
          <w:trHeight w:val="709"/>
          <w:jc w:val="center"/>
        </w:trPr>
        <w:tc>
          <w:tcPr>
            <w:tcW w:w="6083" w:type="dxa"/>
          </w:tcPr>
          <w:p w14:paraId="71730C77" w14:textId="77777777" w:rsidR="000F6638" w:rsidRDefault="00253289" w:rsidP="009B0396">
            <w:pPr>
              <w:widowControl w:val="0"/>
              <w:spacing w:after="0" w:line="240" w:lineRule="auto"/>
              <w:jc w:val="center"/>
              <w:rPr>
                <w:rFonts w:ascii="Times New Roman" w:hAnsi="Times New Roman" w:cs="Times New Roman"/>
                <w:bCs/>
                <w:sz w:val="26"/>
                <w:szCs w:val="26"/>
                <w:lang w:val="vi-VN"/>
              </w:rPr>
            </w:pPr>
            <w:r>
              <w:rPr>
                <w:rFonts w:ascii="Times New Roman" w:hAnsi="Times New Roman" w:cs="Times New Roman"/>
                <w:sz w:val="26"/>
                <w:szCs w:val="26"/>
                <w:lang w:val="nl-NL"/>
              </w:rPr>
              <w:br w:type="page"/>
            </w:r>
            <w:r>
              <w:rPr>
                <w:rFonts w:ascii="Times New Roman" w:hAnsi="Times New Roman" w:cs="Times New Roman"/>
                <w:sz w:val="26"/>
                <w:szCs w:val="26"/>
                <w:lang w:val="nl-NL"/>
              </w:rPr>
              <w:br w:type="page"/>
            </w:r>
            <w:r>
              <w:rPr>
                <w:rFonts w:ascii="Times New Roman" w:hAnsi="Times New Roman" w:cs="Times New Roman"/>
                <w:sz w:val="26"/>
                <w:szCs w:val="26"/>
                <w:lang w:val="nl-NL"/>
              </w:rPr>
              <w:br w:type="page"/>
            </w:r>
            <w:r>
              <w:rPr>
                <w:rFonts w:ascii="Times New Roman" w:hAnsi="Times New Roman" w:cs="Times New Roman"/>
                <w:bCs/>
                <w:sz w:val="26"/>
                <w:szCs w:val="26"/>
                <w:lang w:val="vi-VN"/>
              </w:rPr>
              <w:t>UBND THÀNH PHỐ ĐÀ NẴNG</w:t>
            </w:r>
          </w:p>
          <w:p w14:paraId="65B227B1" w14:textId="77777777" w:rsidR="000F6638" w:rsidRDefault="00253289" w:rsidP="009B0396">
            <w:pPr>
              <w:widowControl w:val="0"/>
              <w:spacing w:after="0" w:line="240" w:lineRule="auto"/>
              <w:jc w:val="center"/>
              <w:rPr>
                <w:rFonts w:ascii="Times New Roman" w:hAnsi="Times New Roman" w:cs="Times New Roman"/>
                <w:sz w:val="26"/>
                <w:szCs w:val="26"/>
                <w:vertAlign w:val="superscript"/>
                <w:lang w:val="vi-VN"/>
              </w:rPr>
            </w:pPr>
            <w:r>
              <w:rPr>
                <w:rFonts w:ascii="Times New Roman" w:hAnsi="Times New Roman" w:cs="Times New Roman"/>
                <w:noProof/>
                <w:sz w:val="26"/>
                <w:szCs w:val="26"/>
                <w:vertAlign w:val="superscript"/>
              </w:rPr>
              <mc:AlternateContent>
                <mc:Choice Requires="wps">
                  <w:drawing>
                    <wp:anchor distT="0" distB="0" distL="114300" distR="114300" simplePos="0" relativeHeight="251659264" behindDoc="0" locked="0" layoutInCell="1" allowOverlap="1" wp14:anchorId="5D26F521" wp14:editId="3A96D4B2">
                      <wp:simplePos x="0" y="0"/>
                      <wp:positionH relativeFrom="column">
                        <wp:posOffset>1247775</wp:posOffset>
                      </wp:positionH>
                      <wp:positionV relativeFrom="paragraph">
                        <wp:posOffset>214630</wp:posOffset>
                      </wp:positionV>
                      <wp:extent cx="1311275" cy="635"/>
                      <wp:effectExtent l="0" t="0" r="22225" b="3746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12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CAC7DD" id="_x0000_t32" coordsize="21600,21600" o:spt="32" o:oned="t" path="m,l21600,21600e" filled="f">
                      <v:path arrowok="t" fillok="f" o:connecttype="none"/>
                      <o:lock v:ext="edit" shapetype="t"/>
                    </v:shapetype>
                    <v:shape id="Straight Arrow Connector 4" o:spid="_x0000_s1026" type="#_x0000_t32" style="position:absolute;margin-left:98.25pt;margin-top:16.9pt;width:103.2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"/>
                  </w:pict>
                </mc:Fallback>
              </mc:AlternateContent>
            </w:r>
            <w:r>
              <w:rPr>
                <w:rFonts w:ascii="Times New Roman" w:hAnsi="Times New Roman" w:cs="Times New Roman"/>
                <w:b/>
                <w:bCs/>
                <w:sz w:val="26"/>
                <w:szCs w:val="26"/>
                <w:lang w:val="vi-VN"/>
              </w:rPr>
              <w:t xml:space="preserve">SỞ </w:t>
            </w:r>
            <w:r>
              <w:rPr>
                <w:rFonts w:ascii="Times New Roman" w:hAnsi="Times New Roman" w:cs="Times New Roman"/>
                <w:b/>
                <w:bCs/>
                <w:sz w:val="26"/>
                <w:szCs w:val="26"/>
              </w:rPr>
              <w:t>NÔNG NGHIỆP</w:t>
            </w:r>
            <w:r>
              <w:rPr>
                <w:rFonts w:ascii="Times New Roman" w:hAnsi="Times New Roman" w:cs="Times New Roman"/>
                <w:b/>
                <w:bCs/>
                <w:sz w:val="26"/>
                <w:szCs w:val="26"/>
                <w:lang w:val="vi-VN"/>
              </w:rPr>
              <w:t xml:space="preserve"> VÀ MÔI TRƯỜNG</w:t>
            </w:r>
          </w:p>
        </w:tc>
        <w:tc>
          <w:tcPr>
            <w:tcW w:w="6763" w:type="dxa"/>
          </w:tcPr>
          <w:p w14:paraId="7EA991E1" w14:textId="77777777" w:rsidR="000F6638" w:rsidRDefault="00253289" w:rsidP="009B0396">
            <w:pPr>
              <w:widowControl w:val="0"/>
              <w:spacing w:after="0" w:line="240" w:lineRule="auto"/>
              <w:ind w:left="-110" w:right="-149"/>
              <w:jc w:val="center"/>
              <w:rPr>
                <w:rFonts w:ascii="Times New Roman" w:hAnsi="Times New Roman" w:cs="Times New Roman"/>
                <w:sz w:val="26"/>
                <w:szCs w:val="26"/>
                <w:lang w:val="vi-VN"/>
              </w:rPr>
            </w:pPr>
            <w:r>
              <w:rPr>
                <w:rFonts w:ascii="Times New Roman" w:hAnsi="Times New Roman" w:cs="Times New Roman"/>
                <w:b/>
                <w:bCs/>
                <w:sz w:val="26"/>
                <w:szCs w:val="26"/>
                <w:lang w:val="vi-VN"/>
              </w:rPr>
              <w:t>CỘNG HÒA XÃ HỘI CHỦ NGHĨA VIỆT NAM</w:t>
            </w:r>
          </w:p>
          <w:p w14:paraId="4A4E6A1C" w14:textId="77777777" w:rsidR="000F6638" w:rsidRDefault="00253289" w:rsidP="009B0396">
            <w:pPr>
              <w:widowControl w:val="0"/>
              <w:spacing w:after="0" w:line="240" w:lineRule="auto"/>
              <w:ind w:left="-110" w:right="-149"/>
              <w:jc w:val="center"/>
              <w:rPr>
                <w:rFonts w:ascii="Times New Roman" w:hAnsi="Times New Roman" w:cs="Times New Roman"/>
                <w:b/>
                <w:bCs/>
                <w:sz w:val="26"/>
                <w:szCs w:val="26"/>
                <w:lang w:val="vi-VN"/>
              </w:rPr>
            </w:pPr>
            <w:r>
              <w:rPr>
                <w:rFonts w:ascii="Times New Roman" w:hAnsi="Times New Roman" w:cs="Times New Roman"/>
                <w:b/>
                <w:bCs/>
                <w:noProof/>
                <w:sz w:val="26"/>
                <w:szCs w:val="26"/>
              </w:rPr>
              <mc:AlternateContent>
                <mc:Choice Requires="wps">
                  <w:drawing>
                    <wp:anchor distT="0" distB="0" distL="114300" distR="114300" simplePos="0" relativeHeight="251660288" behindDoc="0" locked="0" layoutInCell="1" allowOverlap="1" wp14:anchorId="476A851C" wp14:editId="5C8151D8">
                      <wp:simplePos x="0" y="0"/>
                      <wp:positionH relativeFrom="column">
                        <wp:posOffset>981237</wp:posOffset>
                      </wp:positionH>
                      <wp:positionV relativeFrom="paragraph">
                        <wp:posOffset>225425</wp:posOffset>
                      </wp:positionV>
                      <wp:extent cx="2195830" cy="0"/>
                      <wp:effectExtent l="0" t="0" r="1397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58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AC59B3" id="Straight Arrow Connector 3" o:spid="_x0000_s1026" type="#_x0000_t32" style="position:absolute;margin-left:77.25pt;margin-top:17.75pt;width:172.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"/>
                  </w:pict>
                </mc:Fallback>
              </mc:AlternateContent>
            </w:r>
            <w:r>
              <w:rPr>
                <w:rFonts w:ascii="Times New Roman" w:hAnsi="Times New Roman" w:cs="Times New Roman"/>
                <w:b/>
                <w:bCs/>
                <w:sz w:val="26"/>
                <w:szCs w:val="26"/>
                <w:lang w:val="vi-VN"/>
              </w:rPr>
              <w:t>Độc lập - Tự do - Hạnh phúc</w:t>
            </w:r>
          </w:p>
        </w:tc>
      </w:tr>
      <w:tr w:rsidR="000F6638" w14:paraId="4CEBBAE9" w14:textId="77777777">
        <w:trPr>
          <w:jc w:val="center"/>
        </w:trPr>
        <w:tc>
          <w:tcPr>
            <w:tcW w:w="6083" w:type="dxa"/>
            <w:vAlign w:val="center"/>
          </w:tcPr>
          <w:p w14:paraId="4BB1458D" w14:textId="77777777" w:rsidR="000F6638" w:rsidRDefault="000F6638" w:rsidP="008176AB">
            <w:pPr>
              <w:widowControl w:val="0"/>
              <w:spacing w:after="120" w:line="240" w:lineRule="auto"/>
              <w:jc w:val="center"/>
              <w:rPr>
                <w:rFonts w:ascii="Times New Roman" w:hAnsi="Times New Roman" w:cs="Times New Roman"/>
                <w:sz w:val="26"/>
                <w:szCs w:val="26"/>
              </w:rPr>
            </w:pPr>
          </w:p>
        </w:tc>
        <w:tc>
          <w:tcPr>
            <w:tcW w:w="6763" w:type="dxa"/>
            <w:vAlign w:val="center"/>
          </w:tcPr>
          <w:p w14:paraId="6AC61A4C" w14:textId="74180E25" w:rsidR="000F6638" w:rsidRDefault="00253289" w:rsidP="00352BEE">
            <w:pPr>
              <w:widowControl w:val="0"/>
              <w:spacing w:after="120" w:line="240" w:lineRule="auto"/>
              <w:ind w:left="-110" w:right="-149"/>
              <w:jc w:val="center"/>
              <w:rPr>
                <w:rFonts w:ascii="Times New Roman" w:hAnsi="Times New Roman" w:cs="Times New Roman"/>
                <w:i/>
                <w:iCs/>
                <w:sz w:val="26"/>
                <w:szCs w:val="26"/>
              </w:rPr>
            </w:pPr>
            <w:r>
              <w:rPr>
                <w:rFonts w:ascii="Times New Roman" w:hAnsi="Times New Roman" w:cs="Times New Roman"/>
                <w:i/>
                <w:iCs/>
                <w:sz w:val="26"/>
                <w:szCs w:val="26"/>
              </w:rPr>
              <w:t xml:space="preserve">Đà Nẵng, ngày </w:t>
            </w:r>
            <w:r w:rsidR="009B0396">
              <w:rPr>
                <w:rFonts w:ascii="Times New Roman" w:hAnsi="Times New Roman" w:cs="Times New Roman"/>
                <w:i/>
                <w:iCs/>
                <w:sz w:val="26"/>
                <w:szCs w:val="26"/>
              </w:rPr>
              <w:t>…</w:t>
            </w:r>
            <w:r w:rsidR="00352BEE">
              <w:rPr>
                <w:rFonts w:ascii="Times New Roman" w:hAnsi="Times New Roman" w:cs="Times New Roman"/>
                <w:i/>
                <w:iCs/>
                <w:sz w:val="26"/>
                <w:szCs w:val="26"/>
              </w:rPr>
              <w:t xml:space="preserve"> tháng…</w:t>
            </w:r>
            <w:r>
              <w:rPr>
                <w:rFonts w:ascii="Times New Roman" w:hAnsi="Times New Roman" w:cs="Times New Roman"/>
                <w:i/>
                <w:iCs/>
                <w:sz w:val="26"/>
                <w:szCs w:val="26"/>
              </w:rPr>
              <w:t xml:space="preserve"> năm 2025</w:t>
            </w:r>
          </w:p>
        </w:tc>
      </w:tr>
    </w:tbl>
    <w:p w14:paraId="4570BCFA" w14:textId="77777777" w:rsidR="009B0396" w:rsidRDefault="009B0396" w:rsidP="008176AB">
      <w:pPr>
        <w:widowControl w:val="0"/>
        <w:spacing w:after="120" w:line="240" w:lineRule="auto"/>
        <w:jc w:val="center"/>
        <w:rPr>
          <w:rFonts w:ascii="Times New Roman" w:hAnsi="Times New Roman" w:cs="Times New Roman"/>
          <w:b/>
          <w:sz w:val="26"/>
          <w:szCs w:val="26"/>
        </w:rPr>
      </w:pPr>
    </w:p>
    <w:p w14:paraId="0A6E6CAA" w14:textId="4C9FF853" w:rsidR="000F6638" w:rsidRPr="00761D5B" w:rsidRDefault="00253289" w:rsidP="0076710D">
      <w:pPr>
        <w:widowControl w:val="0"/>
        <w:spacing w:after="120" w:line="240" w:lineRule="auto"/>
        <w:jc w:val="center"/>
        <w:rPr>
          <w:rFonts w:ascii="Times New Roman" w:hAnsi="Times New Roman" w:cs="Times New Roman"/>
          <w:b/>
          <w:sz w:val="28"/>
          <w:szCs w:val="26"/>
        </w:rPr>
      </w:pPr>
      <w:r>
        <w:rPr>
          <w:rFonts w:ascii="Times New Roman" w:hAnsi="Times New Roman" w:cs="Times New Roman"/>
          <w:b/>
          <w:sz w:val="26"/>
          <w:szCs w:val="26"/>
        </w:rPr>
        <w:t>BẢN</w:t>
      </w:r>
      <w:r w:rsidR="00413FC9">
        <w:rPr>
          <w:rFonts w:ascii="Times New Roman" w:hAnsi="Times New Roman" w:cs="Times New Roman"/>
          <w:b/>
          <w:sz w:val="26"/>
          <w:szCs w:val="26"/>
        </w:rPr>
        <w:t>G</w:t>
      </w:r>
      <w:r>
        <w:rPr>
          <w:rFonts w:ascii="Times New Roman" w:hAnsi="Times New Roman" w:cs="Times New Roman"/>
          <w:b/>
          <w:sz w:val="26"/>
          <w:szCs w:val="26"/>
        </w:rPr>
        <w:t xml:space="preserve"> SO SÁNH, THUYẾT MINH DỰ THẢO </w:t>
      </w:r>
      <w:r w:rsidR="005A23B4" w:rsidRPr="005A23B4">
        <w:rPr>
          <w:rFonts w:ascii="Times New Roman" w:hAnsi="Times New Roman" w:cs="Times New Roman"/>
          <w:b/>
          <w:sz w:val="28"/>
          <w:szCs w:val="26"/>
        </w:rPr>
        <w:t xml:space="preserve">QUY ĐỊNH </w:t>
      </w:r>
      <w:r w:rsidR="00352BEE">
        <w:rPr>
          <w:rFonts w:ascii="Times New Roman" w:hAnsi="Times New Roman" w:cs="Times New Roman"/>
          <w:b/>
          <w:sz w:val="28"/>
          <w:szCs w:val="26"/>
        </w:rPr>
        <w:t>VỀ ĐIỀU KIỆN, TIÊU CHÍ, QUY MÔ, TỶ LỆ ĐỂ TÁCH PHẦN DIỆN TÍCH ĐẤT DO CƠ QUAN, TỔ CHỨC CỦA NHÀ NƯỚC QUẢN LÝ THÀNH DỰ ÁN ĐỘC LẬP TRÊN ĐỊA BÀN THÀNH PHỐ ĐÀ NẴNG</w:t>
      </w:r>
    </w:p>
    <w:p w14:paraId="494B7E70" w14:textId="77777777" w:rsidR="000F6638" w:rsidRDefault="000F6638" w:rsidP="008176AB">
      <w:pPr>
        <w:widowControl w:val="0"/>
        <w:spacing w:after="120" w:line="240" w:lineRule="auto"/>
        <w:jc w:val="center"/>
        <w:rPr>
          <w:rFonts w:ascii="Times New Roman" w:hAnsi="Times New Roman" w:cs="Times New Roman"/>
          <w:b/>
          <w:sz w:val="26"/>
          <w:szCs w:val="26"/>
        </w:rPr>
      </w:pPr>
    </w:p>
    <w:p w14:paraId="703E6FDE" w14:textId="6D37B88D" w:rsidR="000F6638" w:rsidRDefault="00253289" w:rsidP="008176AB">
      <w:pPr>
        <w:widowControl w:val="0"/>
        <w:spacing w:after="120" w:line="240" w:lineRule="auto"/>
        <w:jc w:val="both"/>
        <w:rPr>
          <w:rFonts w:ascii="Times New Roman" w:eastAsia="Times New Roman" w:hAnsi="Times New Roman" w:cs="Times New Roman"/>
          <w:b/>
          <w:bCs/>
          <w:sz w:val="26"/>
          <w:szCs w:val="26"/>
          <w:lang w:val="en-SG"/>
        </w:rPr>
      </w:pPr>
      <w:r>
        <w:rPr>
          <w:rFonts w:ascii="Times New Roman" w:hAnsi="Times New Roman" w:cs="Times New Roman"/>
          <w:b/>
          <w:sz w:val="26"/>
          <w:szCs w:val="26"/>
        </w:rPr>
        <w:t xml:space="preserve">  </w:t>
      </w:r>
      <w:r>
        <w:rPr>
          <w:rFonts w:ascii="Times New Roman" w:hAnsi="Times New Roman" w:cs="Times New Roman"/>
          <w:b/>
          <w:sz w:val="26"/>
          <w:szCs w:val="26"/>
        </w:rPr>
        <w:tab/>
        <w:t xml:space="preserve">ĐỐI VỚI VĂN BẢN </w:t>
      </w:r>
      <w:r w:rsidR="002A7416">
        <w:rPr>
          <w:rFonts w:ascii="Times New Roman" w:hAnsi="Times New Roman" w:cs="Times New Roman"/>
          <w:b/>
          <w:sz w:val="26"/>
          <w:szCs w:val="26"/>
        </w:rPr>
        <w:t>SỬA ĐỔI, BỔ SUNG, THAY THẾ</w:t>
      </w:r>
    </w:p>
    <w:p w14:paraId="60ADD327" w14:textId="77777777" w:rsidR="000F6638" w:rsidRDefault="000F6638" w:rsidP="008176AB">
      <w:pPr>
        <w:spacing w:after="120" w:line="240" w:lineRule="auto"/>
        <w:rPr>
          <w:rFonts w:ascii="Times New Roman" w:hAnsi="Times New Roman" w:cs="Times New Roman"/>
          <w:sz w:val="26"/>
          <w:szCs w:val="26"/>
        </w:rPr>
      </w:pPr>
    </w:p>
    <w:tbl>
      <w:tblPr>
        <w:tblStyle w:val="TableGrid"/>
        <w:tblpPr w:leftFromText="180" w:rightFromText="180" w:vertAnchor="text" w:tblpX="-147" w:tblpY="1"/>
        <w:tblOverlap w:val="never"/>
        <w:tblW w:w="15417" w:type="dxa"/>
        <w:tblLayout w:type="fixed"/>
        <w:tblLook w:val="04A0" w:firstRow="1" w:lastRow="0" w:firstColumn="1" w:lastColumn="0" w:noHBand="0" w:noVBand="1"/>
      </w:tblPr>
      <w:tblGrid>
        <w:gridCol w:w="3936"/>
        <w:gridCol w:w="3827"/>
        <w:gridCol w:w="3827"/>
        <w:gridCol w:w="3827"/>
      </w:tblGrid>
      <w:tr w:rsidR="005A23B4" w:rsidRPr="003D6659" w14:paraId="6FD09BF1" w14:textId="77777777" w:rsidTr="005A23B4">
        <w:tc>
          <w:tcPr>
            <w:tcW w:w="3936" w:type="dxa"/>
            <w:vAlign w:val="center"/>
          </w:tcPr>
          <w:p w14:paraId="078A721D" w14:textId="77777777" w:rsidR="005A23B4" w:rsidRPr="003D6659" w:rsidRDefault="005A23B4" w:rsidP="004D736E">
            <w:pPr>
              <w:tabs>
                <w:tab w:val="left" w:pos="2340"/>
              </w:tabs>
              <w:jc w:val="center"/>
              <w:rPr>
                <w:rFonts w:ascii="Times New Roman" w:eastAsia="Times New Roman" w:hAnsi="Times New Roman" w:cs="Times New Roman"/>
                <w:b/>
                <w:bCs/>
                <w:sz w:val="26"/>
                <w:szCs w:val="26"/>
              </w:rPr>
            </w:pPr>
            <w:r w:rsidRPr="003D6659">
              <w:rPr>
                <w:rFonts w:ascii="Times New Roman" w:eastAsia="Times New Roman" w:hAnsi="Times New Roman" w:cs="Times New Roman"/>
                <w:b/>
                <w:bCs/>
                <w:sz w:val="26"/>
                <w:szCs w:val="26"/>
              </w:rPr>
              <w:t>QUY PHẠM PHÁP LUẬT HIỆN HÀNH</w:t>
            </w:r>
          </w:p>
          <w:p w14:paraId="65486813" w14:textId="50809351" w:rsidR="005A23B4" w:rsidRPr="003D6659" w:rsidRDefault="005A23B4" w:rsidP="004D736E">
            <w:pPr>
              <w:tabs>
                <w:tab w:val="left" w:pos="2340"/>
              </w:tabs>
              <w:jc w:val="center"/>
              <w:rPr>
                <w:rFonts w:ascii="Times New Roman" w:hAnsi="Times New Roman" w:cs="Times New Roman"/>
                <w:i/>
                <w:iCs/>
                <w:color w:val="000000" w:themeColor="text1"/>
                <w:sz w:val="26"/>
                <w:szCs w:val="26"/>
              </w:rPr>
            </w:pPr>
            <w:r w:rsidRPr="003D6659">
              <w:rPr>
                <w:rFonts w:ascii="Times New Roman" w:hAnsi="Times New Roman" w:cs="Times New Roman"/>
                <w:i/>
                <w:iCs/>
                <w:color w:val="000000" w:themeColor="text1"/>
                <w:sz w:val="26"/>
                <w:szCs w:val="26"/>
              </w:rPr>
              <w:t>(Quyết định số 4</w:t>
            </w:r>
            <w:r w:rsidR="009F3828" w:rsidRPr="003D6659">
              <w:rPr>
                <w:rFonts w:ascii="Times New Roman" w:hAnsi="Times New Roman" w:cs="Times New Roman"/>
                <w:i/>
                <w:iCs/>
                <w:color w:val="000000" w:themeColor="text1"/>
                <w:sz w:val="26"/>
                <w:szCs w:val="26"/>
              </w:rPr>
              <w:t>0</w:t>
            </w:r>
            <w:r w:rsidRPr="003D6659">
              <w:rPr>
                <w:rFonts w:ascii="Times New Roman" w:hAnsi="Times New Roman" w:cs="Times New Roman"/>
                <w:i/>
                <w:iCs/>
                <w:color w:val="000000" w:themeColor="text1"/>
                <w:sz w:val="26"/>
                <w:szCs w:val="26"/>
              </w:rPr>
              <w:t>/2024/QĐ-UBND ngày 15/10/2024 của UBND thành phố Đà Nẵng - cũ)</w:t>
            </w:r>
          </w:p>
        </w:tc>
        <w:tc>
          <w:tcPr>
            <w:tcW w:w="3827" w:type="dxa"/>
          </w:tcPr>
          <w:p w14:paraId="195E9B77" w14:textId="77777777" w:rsidR="005A23B4" w:rsidRPr="003D6659" w:rsidRDefault="005A23B4" w:rsidP="004D736E">
            <w:pPr>
              <w:tabs>
                <w:tab w:val="left" w:pos="2340"/>
              </w:tabs>
              <w:jc w:val="center"/>
              <w:rPr>
                <w:rFonts w:ascii="Times New Roman" w:eastAsia="Times New Roman" w:hAnsi="Times New Roman" w:cs="Times New Roman"/>
                <w:b/>
                <w:bCs/>
                <w:sz w:val="26"/>
                <w:szCs w:val="26"/>
              </w:rPr>
            </w:pPr>
            <w:r w:rsidRPr="003D6659">
              <w:rPr>
                <w:rFonts w:ascii="Times New Roman" w:eastAsia="Times New Roman" w:hAnsi="Times New Roman" w:cs="Times New Roman"/>
                <w:b/>
                <w:bCs/>
                <w:sz w:val="26"/>
                <w:szCs w:val="26"/>
              </w:rPr>
              <w:t>QUY PHẠM PHÁP LUẬT HIỆN HÀNH</w:t>
            </w:r>
          </w:p>
          <w:p w14:paraId="6FD4913B" w14:textId="1286C284" w:rsidR="005A23B4" w:rsidRPr="003D6659" w:rsidRDefault="005A23B4" w:rsidP="004D736E">
            <w:pPr>
              <w:tabs>
                <w:tab w:val="left" w:pos="2340"/>
              </w:tabs>
              <w:ind w:left="60"/>
              <w:jc w:val="center"/>
              <w:rPr>
                <w:rFonts w:ascii="Times New Roman" w:eastAsia="Times New Roman" w:hAnsi="Times New Roman" w:cs="Times New Roman"/>
                <w:bCs/>
                <w:sz w:val="26"/>
                <w:szCs w:val="26"/>
              </w:rPr>
            </w:pPr>
            <w:r w:rsidRPr="003D6659">
              <w:rPr>
                <w:rFonts w:ascii="Times New Roman" w:hAnsi="Times New Roman" w:cs="Times New Roman"/>
                <w:i/>
                <w:iCs/>
                <w:color w:val="000000" w:themeColor="text1"/>
                <w:sz w:val="26"/>
                <w:szCs w:val="26"/>
              </w:rPr>
              <w:t>(Quyết định số</w:t>
            </w:r>
            <w:r w:rsidR="009F3828" w:rsidRPr="003D6659">
              <w:rPr>
                <w:rFonts w:ascii="Times New Roman" w:hAnsi="Times New Roman" w:cs="Times New Roman"/>
                <w:i/>
                <w:iCs/>
                <w:color w:val="000000" w:themeColor="text1"/>
                <w:sz w:val="26"/>
                <w:szCs w:val="26"/>
              </w:rPr>
              <w:t xml:space="preserve"> 43</w:t>
            </w:r>
            <w:r w:rsidRPr="003D6659">
              <w:rPr>
                <w:rFonts w:ascii="Times New Roman" w:hAnsi="Times New Roman" w:cs="Times New Roman"/>
                <w:i/>
                <w:iCs/>
                <w:color w:val="000000" w:themeColor="text1"/>
                <w:sz w:val="26"/>
                <w:szCs w:val="26"/>
              </w:rPr>
              <w:t>/2024/QĐ-UBND  ngày 22/11/2024 của UBND tỉnh Quảng Nam)</w:t>
            </w:r>
          </w:p>
        </w:tc>
        <w:tc>
          <w:tcPr>
            <w:tcW w:w="3827" w:type="dxa"/>
            <w:vAlign w:val="center"/>
          </w:tcPr>
          <w:p w14:paraId="25CD7AD1" w14:textId="44A101F3" w:rsidR="005A23B4" w:rsidRPr="003D6659" w:rsidRDefault="005A23B4" w:rsidP="004D736E">
            <w:pPr>
              <w:tabs>
                <w:tab w:val="left" w:pos="2340"/>
              </w:tabs>
              <w:ind w:left="60"/>
              <w:jc w:val="center"/>
              <w:rPr>
                <w:rFonts w:ascii="Times New Roman" w:hAnsi="Times New Roman" w:cs="Times New Roman"/>
                <w:sz w:val="26"/>
                <w:szCs w:val="26"/>
              </w:rPr>
            </w:pPr>
            <w:r w:rsidRPr="003D6659">
              <w:rPr>
                <w:rFonts w:ascii="Times New Roman" w:eastAsia="Times New Roman" w:hAnsi="Times New Roman" w:cs="Times New Roman"/>
                <w:b/>
                <w:bCs/>
                <w:sz w:val="26"/>
                <w:szCs w:val="26"/>
              </w:rPr>
              <w:t>DỰ THẢO VĂN BẢN</w:t>
            </w:r>
          </w:p>
        </w:tc>
        <w:tc>
          <w:tcPr>
            <w:tcW w:w="3827" w:type="dxa"/>
            <w:vAlign w:val="center"/>
          </w:tcPr>
          <w:p w14:paraId="56ED7C91" w14:textId="77777777" w:rsidR="005A23B4" w:rsidRPr="003D6659" w:rsidRDefault="005A23B4" w:rsidP="004D736E">
            <w:pPr>
              <w:tabs>
                <w:tab w:val="left" w:pos="2340"/>
              </w:tabs>
              <w:jc w:val="center"/>
              <w:rPr>
                <w:rFonts w:ascii="Times New Roman" w:hAnsi="Times New Roman" w:cs="Times New Roman"/>
                <w:sz w:val="26"/>
                <w:szCs w:val="26"/>
              </w:rPr>
            </w:pPr>
            <w:r w:rsidRPr="003D6659">
              <w:rPr>
                <w:rFonts w:ascii="Times New Roman" w:eastAsia="Times New Roman" w:hAnsi="Times New Roman" w:cs="Times New Roman"/>
                <w:b/>
                <w:bCs/>
                <w:sz w:val="26"/>
                <w:szCs w:val="26"/>
              </w:rPr>
              <w:t>THUYẾT MINH</w:t>
            </w:r>
          </w:p>
        </w:tc>
      </w:tr>
      <w:tr w:rsidR="005A23B4" w:rsidRPr="003D6659" w14:paraId="3E87F5CC" w14:textId="77777777" w:rsidTr="005A23B4">
        <w:tc>
          <w:tcPr>
            <w:tcW w:w="3936" w:type="dxa"/>
          </w:tcPr>
          <w:p w14:paraId="75F94255" w14:textId="77777777" w:rsidR="005A23B4" w:rsidRPr="003D6659" w:rsidRDefault="005A05AC" w:rsidP="004D736E">
            <w:pPr>
              <w:shd w:val="clear" w:color="auto" w:fill="FFFFFF"/>
              <w:jc w:val="both"/>
              <w:rPr>
                <w:rFonts w:ascii="Times New Roman" w:eastAsia="Times New Roman" w:hAnsi="Times New Roman" w:cs="Times New Roman"/>
                <w:color w:val="000000"/>
                <w:sz w:val="26"/>
                <w:szCs w:val="26"/>
              </w:rPr>
            </w:pPr>
            <w:r w:rsidRPr="003D6659">
              <w:rPr>
                <w:rFonts w:ascii="Times New Roman" w:eastAsia="Times New Roman" w:hAnsi="Times New Roman" w:cs="Times New Roman"/>
                <w:b/>
                <w:bCs/>
                <w:color w:val="000000"/>
                <w:sz w:val="26"/>
                <w:szCs w:val="26"/>
                <w:lang w:val="vi-VN"/>
              </w:rPr>
              <w:t>Điều 1.</w:t>
            </w:r>
            <w:r w:rsidRPr="003D6659">
              <w:rPr>
                <w:rFonts w:ascii="Times New Roman" w:eastAsia="Times New Roman" w:hAnsi="Times New Roman" w:cs="Times New Roman"/>
                <w:color w:val="000000"/>
                <w:sz w:val="26"/>
                <w:szCs w:val="26"/>
                <w:lang w:val="vi-VN"/>
              </w:rPr>
              <w:t> </w:t>
            </w:r>
            <w:r w:rsidRPr="003D6659">
              <w:rPr>
                <w:rFonts w:ascii="Times New Roman" w:eastAsia="Times New Roman" w:hAnsi="Times New Roman" w:cs="Times New Roman"/>
                <w:b/>
                <w:color w:val="000000"/>
                <w:sz w:val="26"/>
                <w:szCs w:val="26"/>
              </w:rPr>
              <w:t>Phạm vi điều chỉnh</w:t>
            </w:r>
          </w:p>
          <w:p w14:paraId="599786C3" w14:textId="77777777" w:rsidR="0005744D" w:rsidRPr="003D6659" w:rsidRDefault="0005744D" w:rsidP="004D736E">
            <w:pPr>
              <w:shd w:val="clear" w:color="auto" w:fill="FFFFFF"/>
              <w:jc w:val="both"/>
              <w:rPr>
                <w:rFonts w:ascii="Times New Roman" w:eastAsia="Times New Roman" w:hAnsi="Times New Roman" w:cs="Times New Roman"/>
                <w:color w:val="000000"/>
                <w:sz w:val="26"/>
                <w:szCs w:val="26"/>
              </w:rPr>
            </w:pPr>
            <w:r w:rsidRPr="003D6659">
              <w:rPr>
                <w:rFonts w:ascii="Times New Roman" w:eastAsia="Times New Roman" w:hAnsi="Times New Roman" w:cs="Times New Roman"/>
                <w:color w:val="000000"/>
                <w:sz w:val="26"/>
                <w:szCs w:val="26"/>
              </w:rPr>
              <w:t>1. Quy định này quy định cụ thể về điều kiện, tiêu chí, quy mô, tỷ lệ để tách thành dự án độc lập đối với phần diện tích đất do cơ quan, tổ chức của Nhà nước quản lý nằm trong khu vực đất để thực hiện dự án phát triển kinh tế - xã hội thông qua thỏa thuận về nhận quyền sử dụng đất.</w:t>
            </w:r>
          </w:p>
          <w:p w14:paraId="364741AE" w14:textId="24F57831" w:rsidR="0005744D" w:rsidRPr="003D6659" w:rsidRDefault="0005744D" w:rsidP="004D736E">
            <w:pPr>
              <w:shd w:val="clear" w:color="auto" w:fill="FFFFFF"/>
              <w:jc w:val="both"/>
              <w:rPr>
                <w:rFonts w:ascii="Times New Roman" w:eastAsia="Times New Roman" w:hAnsi="Times New Roman" w:cs="Times New Roman"/>
                <w:color w:val="000000"/>
                <w:sz w:val="26"/>
                <w:szCs w:val="26"/>
              </w:rPr>
            </w:pPr>
            <w:r w:rsidRPr="003D6659">
              <w:rPr>
                <w:rFonts w:ascii="Times New Roman" w:eastAsia="Times New Roman" w:hAnsi="Times New Roman" w:cs="Times New Roman"/>
                <w:color w:val="000000"/>
                <w:sz w:val="26"/>
                <w:szCs w:val="26"/>
              </w:rPr>
              <w:t xml:space="preserve">2. Các dự án thuộc trường hợp giao đất, cho thuê đất không đấu giá </w:t>
            </w:r>
            <w:r w:rsidRPr="003D6659">
              <w:rPr>
                <w:rFonts w:ascii="Times New Roman" w:eastAsia="Times New Roman" w:hAnsi="Times New Roman" w:cs="Times New Roman"/>
                <w:color w:val="000000"/>
                <w:sz w:val="26"/>
                <w:szCs w:val="26"/>
              </w:rPr>
              <w:lastRenderedPageBreak/>
              <w:t>quyền sử dụng đất, không đấu thầu lựa chọn nhà đầu tư thực hiện dự án có sử dụng đất theo quy định tại Điều 124 Luật Đất đai 2024 thì không thuộc phạm vi điều chỉnh của Quyết định này.</w:t>
            </w:r>
          </w:p>
        </w:tc>
        <w:tc>
          <w:tcPr>
            <w:tcW w:w="3827" w:type="dxa"/>
          </w:tcPr>
          <w:p w14:paraId="719307C6" w14:textId="77777777" w:rsidR="00356AB7" w:rsidRPr="003D6659" w:rsidRDefault="00356AB7" w:rsidP="004D736E">
            <w:pPr>
              <w:ind w:left="60"/>
              <w:jc w:val="both"/>
              <w:outlineLvl w:val="0"/>
              <w:rPr>
                <w:rFonts w:ascii="Times New Roman" w:hAnsi="Times New Roman" w:cs="Times New Roman"/>
                <w:b/>
                <w:bCs/>
                <w:sz w:val="26"/>
                <w:szCs w:val="26"/>
              </w:rPr>
            </w:pPr>
            <w:r w:rsidRPr="003D6659">
              <w:rPr>
                <w:rFonts w:ascii="Times New Roman" w:hAnsi="Times New Roman" w:cs="Times New Roman"/>
                <w:b/>
                <w:bCs/>
                <w:sz w:val="26"/>
                <w:szCs w:val="26"/>
              </w:rPr>
              <w:lastRenderedPageBreak/>
              <w:t>Điều 1. Phạm vi điều chỉnh</w:t>
            </w:r>
          </w:p>
          <w:p w14:paraId="55CFE063" w14:textId="77777777" w:rsidR="0005744D" w:rsidRPr="003D6659" w:rsidRDefault="0005744D" w:rsidP="004D736E">
            <w:pPr>
              <w:ind w:left="60"/>
              <w:jc w:val="both"/>
              <w:outlineLvl w:val="0"/>
              <w:rPr>
                <w:rFonts w:ascii="Times New Roman" w:hAnsi="Times New Roman" w:cs="Times New Roman"/>
                <w:bCs/>
                <w:sz w:val="26"/>
                <w:szCs w:val="26"/>
              </w:rPr>
            </w:pPr>
            <w:r w:rsidRPr="003D6659">
              <w:rPr>
                <w:rFonts w:ascii="Times New Roman" w:hAnsi="Times New Roman" w:cs="Times New Roman"/>
                <w:bCs/>
                <w:sz w:val="26"/>
                <w:szCs w:val="26"/>
              </w:rPr>
              <w:t xml:space="preserve">1. Quy định này quy định cụ thể về điều kiện, tiêu chí, quy mô, tỷ lệ, diện tích khu đất tách thành dự án độc lập để đấu giá quyền sử dụng đất, đấu thầu lựa chọn nhà đầu tư thực hiện dự án có sử dụng đất đối với phần diện tích đất do cơ quan, tổ chức của Nhà nước quản lý (dưới đây gọi là đất công) nằm trong khu vực đất để thực hiện dự án phát triển kinh tế - xã </w:t>
            </w:r>
            <w:r w:rsidRPr="003D6659">
              <w:rPr>
                <w:rFonts w:ascii="Times New Roman" w:hAnsi="Times New Roman" w:cs="Times New Roman"/>
                <w:bCs/>
                <w:sz w:val="26"/>
                <w:szCs w:val="26"/>
              </w:rPr>
              <w:lastRenderedPageBreak/>
              <w:t>hội thông qua thỏa thuận về nhận quyền sử dụng đất trên địa bàn tỉnh Quảng Nam theo quy định tại khoản 1 Điều 127 Luật Đất đai năm 2024.</w:t>
            </w:r>
          </w:p>
          <w:p w14:paraId="17CC82C3" w14:textId="22E00CBC" w:rsidR="005A23B4" w:rsidRPr="003D6659" w:rsidRDefault="0005744D" w:rsidP="004D736E">
            <w:pPr>
              <w:ind w:left="60"/>
              <w:jc w:val="both"/>
              <w:outlineLvl w:val="0"/>
              <w:rPr>
                <w:rFonts w:ascii="Times New Roman" w:hAnsi="Times New Roman" w:cs="Times New Roman"/>
                <w:b/>
                <w:bCs/>
                <w:sz w:val="26"/>
                <w:szCs w:val="26"/>
              </w:rPr>
            </w:pPr>
            <w:r w:rsidRPr="003D6659">
              <w:rPr>
                <w:rFonts w:ascii="Times New Roman" w:hAnsi="Times New Roman" w:cs="Times New Roman"/>
                <w:bCs/>
                <w:sz w:val="26"/>
                <w:szCs w:val="26"/>
              </w:rPr>
              <w:t>2. Quy định này không áp dụng đối với các trường hợp giao đất, cho thuê đất không đấu giá quyền sử dụng đất, không đấu thầu lựa chọn nhà đầu tư thực hiện dự án có sử dụng đất quy định tại Điều 124 Luật Đất đai năm 2024.</w:t>
            </w:r>
          </w:p>
        </w:tc>
        <w:tc>
          <w:tcPr>
            <w:tcW w:w="3827" w:type="dxa"/>
          </w:tcPr>
          <w:p w14:paraId="64161EDF" w14:textId="77777777" w:rsidR="000D66A3" w:rsidRPr="003D6659" w:rsidRDefault="000D66A3" w:rsidP="004D736E">
            <w:pPr>
              <w:jc w:val="both"/>
              <w:outlineLvl w:val="0"/>
              <w:rPr>
                <w:rFonts w:ascii="Times New Roman" w:hAnsi="Times New Roman" w:cs="Times New Roman"/>
                <w:b/>
                <w:bCs/>
                <w:sz w:val="26"/>
                <w:szCs w:val="26"/>
              </w:rPr>
            </w:pPr>
            <w:r w:rsidRPr="003D6659">
              <w:rPr>
                <w:rFonts w:ascii="Times New Roman" w:hAnsi="Times New Roman" w:cs="Times New Roman"/>
                <w:b/>
                <w:bCs/>
                <w:sz w:val="26"/>
                <w:szCs w:val="26"/>
                <w:lang w:val="vi-VN"/>
              </w:rPr>
              <w:lastRenderedPageBreak/>
              <w:t>Điều 1. </w:t>
            </w:r>
            <w:r w:rsidRPr="003D6659">
              <w:rPr>
                <w:rFonts w:ascii="Times New Roman" w:hAnsi="Times New Roman" w:cs="Times New Roman"/>
                <w:b/>
                <w:bCs/>
                <w:sz w:val="26"/>
                <w:szCs w:val="26"/>
              </w:rPr>
              <w:t>Phạm vi điều chỉnh</w:t>
            </w:r>
          </w:p>
          <w:p w14:paraId="7F8225CA" w14:textId="77777777" w:rsidR="009E7190" w:rsidRPr="003D6659" w:rsidRDefault="009E7190" w:rsidP="004D736E">
            <w:pPr>
              <w:jc w:val="both"/>
              <w:outlineLvl w:val="0"/>
              <w:rPr>
                <w:rFonts w:ascii="Times New Roman" w:hAnsi="Times New Roman" w:cs="Times New Roman"/>
                <w:bCs/>
                <w:sz w:val="26"/>
                <w:szCs w:val="26"/>
              </w:rPr>
            </w:pPr>
            <w:r w:rsidRPr="003D6659">
              <w:rPr>
                <w:rFonts w:ascii="Times New Roman" w:hAnsi="Times New Roman" w:cs="Times New Roman"/>
                <w:bCs/>
                <w:sz w:val="26"/>
                <w:szCs w:val="26"/>
              </w:rPr>
              <w:t xml:space="preserve">1. Quy định này quy định cụ thể về điều kiện, tiêu chí, quy mô, tỷ lệ, diện tích khu đất tách thành dự án độc lập để đấu giá quyền sử dụng đất, đấu thầu lựa chọn nhà đầu tư thực hiện dự án có sử dụng đất đối với phần diện tích đất do cơ quan, tổ chức của Nhà nước quản lý nằm trong khu vực đất để thực hiện dự án phát triển kinh tế - xã hội thông qua thỏa thuận về </w:t>
            </w:r>
            <w:r w:rsidRPr="003D6659">
              <w:rPr>
                <w:rFonts w:ascii="Times New Roman" w:hAnsi="Times New Roman" w:cs="Times New Roman"/>
                <w:bCs/>
                <w:sz w:val="26"/>
                <w:szCs w:val="26"/>
              </w:rPr>
              <w:lastRenderedPageBreak/>
              <w:t xml:space="preserve">nhận quyền sử dụng đất theo </w:t>
            </w:r>
            <w:r w:rsidRPr="003D6659">
              <w:rPr>
                <w:rFonts w:ascii="Times New Roman" w:hAnsi="Times New Roman" w:cs="Times New Roman"/>
                <w:bCs/>
                <w:sz w:val="26"/>
                <w:szCs w:val="26"/>
                <w:lang w:val="x-none"/>
              </w:rPr>
              <w:t xml:space="preserve">quy định tại khoản </w:t>
            </w:r>
            <w:r w:rsidRPr="003D6659">
              <w:rPr>
                <w:rFonts w:ascii="Times New Roman" w:hAnsi="Times New Roman" w:cs="Times New Roman"/>
                <w:bCs/>
                <w:sz w:val="26"/>
                <w:szCs w:val="26"/>
              </w:rPr>
              <w:t>3</w:t>
            </w:r>
            <w:r w:rsidRPr="003D6659">
              <w:rPr>
                <w:rFonts w:ascii="Times New Roman" w:hAnsi="Times New Roman" w:cs="Times New Roman"/>
                <w:bCs/>
                <w:sz w:val="26"/>
                <w:szCs w:val="26"/>
                <w:lang w:val="x-none"/>
              </w:rPr>
              <w:t xml:space="preserve"> Điều </w:t>
            </w:r>
            <w:r w:rsidRPr="003D6659">
              <w:rPr>
                <w:rFonts w:ascii="Times New Roman" w:hAnsi="Times New Roman" w:cs="Times New Roman"/>
                <w:bCs/>
                <w:sz w:val="26"/>
                <w:szCs w:val="26"/>
              </w:rPr>
              <w:t>59</w:t>
            </w:r>
            <w:r w:rsidRPr="003D6659">
              <w:rPr>
                <w:rFonts w:ascii="Times New Roman" w:hAnsi="Times New Roman" w:cs="Times New Roman"/>
                <w:bCs/>
                <w:sz w:val="26"/>
                <w:szCs w:val="26"/>
                <w:lang w:val="x-none"/>
              </w:rPr>
              <w:t xml:space="preserve"> Nghị định số 102/2024/NĐ-CP ngày 30</w:t>
            </w:r>
            <w:r w:rsidRPr="003D6659">
              <w:rPr>
                <w:rFonts w:ascii="Times New Roman" w:hAnsi="Times New Roman" w:cs="Times New Roman"/>
                <w:bCs/>
                <w:sz w:val="26"/>
                <w:szCs w:val="26"/>
              </w:rPr>
              <w:t xml:space="preserve"> tháng </w:t>
            </w:r>
            <w:r w:rsidRPr="003D6659">
              <w:rPr>
                <w:rFonts w:ascii="Times New Roman" w:hAnsi="Times New Roman" w:cs="Times New Roman"/>
                <w:bCs/>
                <w:sz w:val="26"/>
                <w:szCs w:val="26"/>
                <w:lang w:val="x-none"/>
              </w:rPr>
              <w:t>7</w:t>
            </w:r>
            <w:r w:rsidRPr="003D6659">
              <w:rPr>
                <w:rFonts w:ascii="Times New Roman" w:hAnsi="Times New Roman" w:cs="Times New Roman"/>
                <w:bCs/>
                <w:sz w:val="26"/>
                <w:szCs w:val="26"/>
              </w:rPr>
              <w:t xml:space="preserve"> năm </w:t>
            </w:r>
            <w:r w:rsidRPr="003D6659">
              <w:rPr>
                <w:rFonts w:ascii="Times New Roman" w:hAnsi="Times New Roman" w:cs="Times New Roman"/>
                <w:bCs/>
                <w:sz w:val="26"/>
                <w:szCs w:val="26"/>
                <w:lang w:val="x-none"/>
              </w:rPr>
              <w:t>2024 của Chính phủ</w:t>
            </w:r>
            <w:r w:rsidRPr="003D6659">
              <w:rPr>
                <w:rFonts w:ascii="Times New Roman" w:hAnsi="Times New Roman" w:cs="Times New Roman"/>
                <w:bCs/>
                <w:sz w:val="26"/>
                <w:szCs w:val="26"/>
              </w:rPr>
              <w:t>.</w:t>
            </w:r>
          </w:p>
          <w:p w14:paraId="60E10315" w14:textId="68F08DB9" w:rsidR="005A23B4" w:rsidRPr="003D6659" w:rsidRDefault="009E7190" w:rsidP="004D736E">
            <w:pPr>
              <w:jc w:val="both"/>
              <w:outlineLvl w:val="0"/>
              <w:rPr>
                <w:rFonts w:ascii="Times New Roman" w:hAnsi="Times New Roman" w:cs="Times New Roman"/>
                <w:bCs/>
                <w:sz w:val="26"/>
                <w:szCs w:val="26"/>
              </w:rPr>
            </w:pPr>
            <w:r w:rsidRPr="003D6659">
              <w:rPr>
                <w:rFonts w:ascii="Times New Roman" w:hAnsi="Times New Roman" w:cs="Times New Roman"/>
                <w:bCs/>
                <w:sz w:val="26"/>
                <w:szCs w:val="26"/>
              </w:rPr>
              <w:t>2. Các dự án thuộc trường hợp giao đất, cho thuê đất không đấu giá quyền sử dụng đất, không đấu thầu lựa chọn nhà đầu tư thực hiện dự án có sử dụng đất theo quy định tại Điều 124 Luật Đất đai 2024 thì không thuộc phạm vi điều chỉnh của Quy định này.</w:t>
            </w:r>
          </w:p>
        </w:tc>
        <w:tc>
          <w:tcPr>
            <w:tcW w:w="3827" w:type="dxa"/>
          </w:tcPr>
          <w:p w14:paraId="334022E8" w14:textId="324FE991" w:rsidR="005A23B4" w:rsidRPr="003D6659" w:rsidRDefault="005543F5" w:rsidP="004D736E">
            <w:pPr>
              <w:jc w:val="both"/>
              <w:outlineLvl w:val="0"/>
              <w:rPr>
                <w:rFonts w:ascii="Times New Roman" w:hAnsi="Times New Roman" w:cs="Times New Roman"/>
                <w:bCs/>
                <w:sz w:val="26"/>
                <w:szCs w:val="26"/>
              </w:rPr>
            </w:pPr>
            <w:r w:rsidRPr="003D6659">
              <w:rPr>
                <w:rFonts w:ascii="Times New Roman" w:hAnsi="Times New Roman" w:cs="Times New Roman"/>
                <w:bCs/>
                <w:sz w:val="26"/>
                <w:szCs w:val="26"/>
              </w:rPr>
              <w:lastRenderedPageBreak/>
              <w:t>Phạm vi điều chỉnh giữa 02 Quyết định tương đối giống nhau, không có sự thay đổi</w:t>
            </w:r>
          </w:p>
        </w:tc>
      </w:tr>
      <w:tr w:rsidR="005A23B4" w:rsidRPr="003D6659" w14:paraId="14823CC5" w14:textId="77777777" w:rsidTr="005A23B4">
        <w:trPr>
          <w:trHeight w:val="756"/>
        </w:trPr>
        <w:tc>
          <w:tcPr>
            <w:tcW w:w="3936" w:type="dxa"/>
          </w:tcPr>
          <w:p w14:paraId="01ABEA41" w14:textId="77777777" w:rsidR="005A05AC" w:rsidRPr="003D6659" w:rsidRDefault="005A05AC" w:rsidP="004D736E">
            <w:pPr>
              <w:shd w:val="clear" w:color="auto" w:fill="FFFFFF"/>
              <w:jc w:val="both"/>
              <w:rPr>
                <w:rFonts w:ascii="Times New Roman" w:hAnsi="Times New Roman" w:cs="Times New Roman"/>
                <w:b/>
                <w:bCs/>
                <w:sz w:val="26"/>
                <w:szCs w:val="26"/>
              </w:rPr>
            </w:pPr>
            <w:r w:rsidRPr="003D6659">
              <w:rPr>
                <w:rFonts w:ascii="Times New Roman" w:hAnsi="Times New Roman" w:cs="Times New Roman"/>
                <w:b/>
                <w:bCs/>
                <w:sz w:val="26"/>
                <w:szCs w:val="26"/>
              </w:rPr>
              <w:lastRenderedPageBreak/>
              <w:t>Điều 2</w:t>
            </w:r>
            <w:r w:rsidRPr="003D6659">
              <w:rPr>
                <w:rFonts w:ascii="Times New Roman" w:hAnsi="Times New Roman" w:cs="Times New Roman"/>
                <w:b/>
                <w:bCs/>
                <w:sz w:val="26"/>
                <w:szCs w:val="26"/>
                <w:lang w:val="vi-VN"/>
              </w:rPr>
              <w:t>. Đối tượng áp dụng</w:t>
            </w:r>
          </w:p>
          <w:p w14:paraId="43B665C4" w14:textId="77777777" w:rsidR="00D626F4" w:rsidRPr="003D6659" w:rsidRDefault="00D626F4" w:rsidP="004D736E">
            <w:pPr>
              <w:shd w:val="clear" w:color="auto" w:fill="FFFFFF"/>
              <w:jc w:val="both"/>
              <w:rPr>
                <w:rFonts w:ascii="Times New Roman" w:hAnsi="Times New Roman" w:cs="Times New Roman"/>
                <w:bCs/>
                <w:sz w:val="26"/>
                <w:szCs w:val="26"/>
              </w:rPr>
            </w:pPr>
            <w:r w:rsidRPr="003D6659">
              <w:rPr>
                <w:rFonts w:ascii="Times New Roman" w:hAnsi="Times New Roman" w:cs="Times New Roman"/>
                <w:bCs/>
                <w:sz w:val="26"/>
                <w:szCs w:val="26"/>
              </w:rPr>
              <w:t xml:space="preserve">1. Các cơ quan nhà nước thực hiện nhiệm vụ quản lý nhà nước về đất đai và các cơ quan, tổ chức khác có quyền và nghĩa vụ liên quan. </w:t>
            </w:r>
          </w:p>
          <w:p w14:paraId="219D99C4" w14:textId="77777777" w:rsidR="00D626F4" w:rsidRPr="003D6659" w:rsidRDefault="00D626F4" w:rsidP="004D736E">
            <w:pPr>
              <w:shd w:val="clear" w:color="auto" w:fill="FFFFFF"/>
              <w:jc w:val="both"/>
              <w:rPr>
                <w:rFonts w:ascii="Times New Roman" w:hAnsi="Times New Roman" w:cs="Times New Roman"/>
                <w:bCs/>
                <w:sz w:val="26"/>
                <w:szCs w:val="26"/>
              </w:rPr>
            </w:pPr>
            <w:r w:rsidRPr="003D6659">
              <w:rPr>
                <w:rFonts w:ascii="Times New Roman" w:hAnsi="Times New Roman" w:cs="Times New Roman"/>
                <w:bCs/>
                <w:sz w:val="26"/>
                <w:szCs w:val="26"/>
              </w:rPr>
              <w:t xml:space="preserve">2. Người chịu trách nhiệm trước Nhà nước đối với việc sử dụng đất quy định tại Điều 6 Luật Đất đai, người chịu trách nhiệm trước Nhà nước đối với đất được giao quản lý quy định tại Điều 7 Luật Đất đai. </w:t>
            </w:r>
          </w:p>
          <w:p w14:paraId="305F6D9B" w14:textId="75CC8860" w:rsidR="005A23B4" w:rsidRPr="003D6659" w:rsidRDefault="00D626F4" w:rsidP="004D736E">
            <w:pPr>
              <w:shd w:val="clear" w:color="auto" w:fill="FFFFFF"/>
              <w:jc w:val="both"/>
              <w:rPr>
                <w:rFonts w:ascii="Times New Roman" w:hAnsi="Times New Roman" w:cs="Times New Roman"/>
                <w:bCs/>
                <w:sz w:val="26"/>
                <w:szCs w:val="26"/>
                <w:lang w:val="nl-NL"/>
              </w:rPr>
            </w:pPr>
            <w:r w:rsidRPr="003D6659">
              <w:rPr>
                <w:rFonts w:ascii="Times New Roman" w:hAnsi="Times New Roman" w:cs="Times New Roman"/>
                <w:bCs/>
                <w:sz w:val="26"/>
                <w:szCs w:val="26"/>
              </w:rPr>
              <w:t>3. Tổ chức, cá nhân sử dụng đât để thực hiện dự án phát triên kinh tê - xã hội thông qua thoá thuận về nhận quyên sử dụng đất.</w:t>
            </w:r>
          </w:p>
        </w:tc>
        <w:tc>
          <w:tcPr>
            <w:tcW w:w="3827" w:type="dxa"/>
          </w:tcPr>
          <w:p w14:paraId="6D5B101E" w14:textId="77777777" w:rsidR="00356AB7" w:rsidRPr="003D6659" w:rsidRDefault="00356AB7" w:rsidP="004D736E">
            <w:pPr>
              <w:shd w:val="clear" w:color="auto" w:fill="FFFFFF"/>
              <w:ind w:left="60"/>
              <w:jc w:val="both"/>
              <w:rPr>
                <w:rFonts w:ascii="Times New Roman" w:hAnsi="Times New Roman" w:cs="Times New Roman"/>
                <w:bCs/>
                <w:sz w:val="26"/>
                <w:szCs w:val="26"/>
              </w:rPr>
            </w:pPr>
            <w:r w:rsidRPr="003D6659">
              <w:rPr>
                <w:rFonts w:ascii="Times New Roman" w:hAnsi="Times New Roman" w:cs="Times New Roman"/>
                <w:b/>
                <w:bCs/>
                <w:sz w:val="26"/>
                <w:szCs w:val="26"/>
              </w:rPr>
              <w:t>Điều 2. Đối tượng áp dụng</w:t>
            </w:r>
          </w:p>
          <w:p w14:paraId="652F40F6" w14:textId="77777777" w:rsidR="0072555A" w:rsidRPr="003D6659" w:rsidRDefault="0072555A" w:rsidP="004D736E">
            <w:pPr>
              <w:shd w:val="clear" w:color="auto" w:fill="FFFFFF"/>
              <w:ind w:left="60"/>
              <w:jc w:val="both"/>
              <w:rPr>
                <w:rFonts w:ascii="Times New Roman" w:hAnsi="Times New Roman" w:cs="Times New Roman"/>
                <w:bCs/>
                <w:sz w:val="26"/>
                <w:szCs w:val="26"/>
              </w:rPr>
            </w:pPr>
            <w:r w:rsidRPr="003D6659">
              <w:rPr>
                <w:rFonts w:ascii="Times New Roman" w:hAnsi="Times New Roman" w:cs="Times New Roman"/>
                <w:bCs/>
                <w:sz w:val="26"/>
                <w:szCs w:val="26"/>
              </w:rPr>
              <w:t>1. Các nhà đầu tư quy định tại khoản 18 Điều 3 Luật Đầu tư năm 2020 và các cơ quan, tổ chức, cá nhân, người sử dụng đất liên quan đến hoạt động đầu tư tại tỉnh Quảng Nam.</w:t>
            </w:r>
          </w:p>
          <w:p w14:paraId="5BD963BE" w14:textId="60DC1061" w:rsidR="005A23B4" w:rsidRPr="003D6659" w:rsidRDefault="0072555A" w:rsidP="004D736E">
            <w:pPr>
              <w:shd w:val="clear" w:color="auto" w:fill="FFFFFF"/>
              <w:ind w:left="60"/>
              <w:jc w:val="both"/>
              <w:rPr>
                <w:rFonts w:ascii="Times New Roman" w:hAnsi="Times New Roman" w:cs="Times New Roman"/>
                <w:bCs/>
                <w:sz w:val="26"/>
                <w:szCs w:val="26"/>
              </w:rPr>
            </w:pPr>
            <w:r w:rsidRPr="003D6659">
              <w:rPr>
                <w:rFonts w:ascii="Times New Roman" w:hAnsi="Times New Roman" w:cs="Times New Roman"/>
                <w:bCs/>
                <w:sz w:val="26"/>
                <w:szCs w:val="26"/>
              </w:rPr>
              <w:t>2. Người chịu trách nhiệm trước Nhà nước đối với đất được giao để quản lý quy định tại Điều 7 Luật Đất đai năm 2024.</w:t>
            </w:r>
          </w:p>
        </w:tc>
        <w:tc>
          <w:tcPr>
            <w:tcW w:w="3827" w:type="dxa"/>
          </w:tcPr>
          <w:p w14:paraId="6F7DEA13" w14:textId="77777777" w:rsidR="0080225D" w:rsidRPr="003D6659" w:rsidRDefault="0080225D" w:rsidP="004D736E">
            <w:pPr>
              <w:shd w:val="clear" w:color="auto" w:fill="FFFFFF"/>
              <w:ind w:left="60"/>
              <w:jc w:val="both"/>
              <w:rPr>
                <w:rFonts w:ascii="Times New Roman" w:hAnsi="Times New Roman" w:cs="Times New Roman"/>
                <w:b/>
                <w:bCs/>
                <w:sz w:val="26"/>
                <w:szCs w:val="26"/>
              </w:rPr>
            </w:pPr>
            <w:r w:rsidRPr="003D6659">
              <w:rPr>
                <w:rFonts w:ascii="Times New Roman" w:hAnsi="Times New Roman" w:cs="Times New Roman"/>
                <w:b/>
                <w:bCs/>
                <w:sz w:val="26"/>
                <w:szCs w:val="26"/>
              </w:rPr>
              <w:t>Điều 2</w:t>
            </w:r>
            <w:r w:rsidRPr="003D6659">
              <w:rPr>
                <w:rFonts w:ascii="Times New Roman" w:hAnsi="Times New Roman" w:cs="Times New Roman"/>
                <w:b/>
                <w:bCs/>
                <w:sz w:val="26"/>
                <w:szCs w:val="26"/>
                <w:lang w:val="vi-VN"/>
              </w:rPr>
              <w:t>. Đối tượng áp dụng</w:t>
            </w:r>
          </w:p>
          <w:p w14:paraId="2522FF14" w14:textId="77777777" w:rsidR="0072555A" w:rsidRPr="003D6659" w:rsidRDefault="0072555A" w:rsidP="004D736E">
            <w:pPr>
              <w:shd w:val="clear" w:color="auto" w:fill="FFFFFF"/>
              <w:ind w:left="60"/>
              <w:jc w:val="both"/>
              <w:rPr>
                <w:rFonts w:ascii="Times New Roman" w:hAnsi="Times New Roman" w:cs="Times New Roman"/>
                <w:bCs/>
                <w:sz w:val="26"/>
                <w:szCs w:val="26"/>
              </w:rPr>
            </w:pPr>
            <w:r w:rsidRPr="003D6659">
              <w:rPr>
                <w:rFonts w:ascii="Times New Roman" w:hAnsi="Times New Roman" w:cs="Times New Roman"/>
                <w:bCs/>
                <w:sz w:val="26"/>
                <w:szCs w:val="26"/>
              </w:rPr>
              <w:t>1. Các cơ quan nhà nước thực hiện nhiệm vụ quản lý nhà nước về đất đai và các cơ quan, tổ chức khác có quyền và nghĩa vụ liên quan.</w:t>
            </w:r>
          </w:p>
          <w:p w14:paraId="4AA06F5E" w14:textId="77777777" w:rsidR="0072555A" w:rsidRPr="003D6659" w:rsidRDefault="0072555A" w:rsidP="004D736E">
            <w:pPr>
              <w:shd w:val="clear" w:color="auto" w:fill="FFFFFF"/>
              <w:ind w:left="60"/>
              <w:jc w:val="both"/>
              <w:rPr>
                <w:rFonts w:ascii="Times New Roman" w:hAnsi="Times New Roman" w:cs="Times New Roman"/>
                <w:bCs/>
                <w:sz w:val="26"/>
                <w:szCs w:val="26"/>
              </w:rPr>
            </w:pPr>
            <w:r w:rsidRPr="003D6659">
              <w:rPr>
                <w:rFonts w:ascii="Times New Roman" w:hAnsi="Times New Roman" w:cs="Times New Roman"/>
                <w:bCs/>
                <w:sz w:val="26"/>
                <w:szCs w:val="26"/>
              </w:rPr>
              <w:t>2. Người chịu trách nhiệm trước Nhà nước đối với việc sử dụng đất quy định tại Điều 6 Luật Đất đai, người chịu trách nhiệm trước Nhà nước đối với đất được giao quản lý quy định tại Điều 7 Luật Đất đai.</w:t>
            </w:r>
          </w:p>
          <w:p w14:paraId="10105013" w14:textId="70C7BF9B" w:rsidR="005A23B4" w:rsidRPr="003D6659" w:rsidRDefault="0072555A" w:rsidP="004D736E">
            <w:pPr>
              <w:shd w:val="clear" w:color="auto" w:fill="FFFFFF"/>
              <w:ind w:left="60"/>
              <w:jc w:val="both"/>
              <w:rPr>
                <w:rFonts w:ascii="Times New Roman" w:hAnsi="Times New Roman" w:cs="Times New Roman"/>
                <w:b/>
                <w:bCs/>
                <w:sz w:val="26"/>
                <w:szCs w:val="26"/>
              </w:rPr>
            </w:pPr>
            <w:r w:rsidRPr="003D6659">
              <w:rPr>
                <w:rFonts w:ascii="Times New Roman" w:hAnsi="Times New Roman" w:cs="Times New Roman"/>
                <w:bCs/>
                <w:sz w:val="26"/>
                <w:szCs w:val="26"/>
              </w:rPr>
              <w:t>3. Tổ chức, cá nhân sử dụng đất để thực hiện dự án phát triển kinh tế - xã hội thông qua thoả thuận về nhận quyền sử dụng đất.</w:t>
            </w:r>
          </w:p>
        </w:tc>
        <w:tc>
          <w:tcPr>
            <w:tcW w:w="3827" w:type="dxa"/>
          </w:tcPr>
          <w:p w14:paraId="5CDC8FB7" w14:textId="6B82FBA1" w:rsidR="005A23B4" w:rsidRPr="003D6659" w:rsidRDefault="005543F5" w:rsidP="004D736E">
            <w:pPr>
              <w:jc w:val="both"/>
              <w:rPr>
                <w:rFonts w:ascii="Times New Roman" w:hAnsi="Times New Roman" w:cs="Times New Roman"/>
                <w:bCs/>
                <w:iCs/>
                <w:sz w:val="26"/>
                <w:szCs w:val="26"/>
              </w:rPr>
            </w:pPr>
            <w:r w:rsidRPr="003D6659">
              <w:rPr>
                <w:rFonts w:ascii="Times New Roman" w:hAnsi="Times New Roman" w:cs="Times New Roman"/>
                <w:bCs/>
                <w:sz w:val="26"/>
                <w:szCs w:val="26"/>
              </w:rPr>
              <w:t>Phạm vi điều chỉnh giữa 02 Quyết định tương đối giống nhau, không có sự thay đổi</w:t>
            </w:r>
          </w:p>
        </w:tc>
      </w:tr>
      <w:tr w:rsidR="005A05AC" w:rsidRPr="003D6659" w14:paraId="0E6D60AF" w14:textId="77777777" w:rsidTr="005A23B4">
        <w:trPr>
          <w:trHeight w:val="756"/>
        </w:trPr>
        <w:tc>
          <w:tcPr>
            <w:tcW w:w="3936" w:type="dxa"/>
          </w:tcPr>
          <w:p w14:paraId="5201C061" w14:textId="1C9761C6" w:rsidR="005A05AC" w:rsidRPr="003D6659" w:rsidRDefault="005A05AC" w:rsidP="004D736E">
            <w:pPr>
              <w:shd w:val="clear" w:color="auto" w:fill="FFFFFF"/>
              <w:jc w:val="both"/>
              <w:rPr>
                <w:rFonts w:ascii="Times New Roman" w:hAnsi="Times New Roman" w:cs="Times New Roman"/>
                <w:b/>
                <w:bCs/>
                <w:sz w:val="26"/>
                <w:szCs w:val="26"/>
              </w:rPr>
            </w:pPr>
            <w:r w:rsidRPr="003D6659">
              <w:rPr>
                <w:rFonts w:ascii="Times New Roman" w:hAnsi="Times New Roman" w:cs="Times New Roman"/>
                <w:b/>
                <w:bCs/>
                <w:sz w:val="26"/>
                <w:szCs w:val="26"/>
              </w:rPr>
              <w:lastRenderedPageBreak/>
              <w:t xml:space="preserve">Điều </w:t>
            </w:r>
            <w:r w:rsidRPr="003D6659">
              <w:rPr>
                <w:rFonts w:ascii="Times New Roman" w:hAnsi="Times New Roman" w:cs="Times New Roman"/>
                <w:b/>
                <w:bCs/>
                <w:sz w:val="26"/>
                <w:szCs w:val="26"/>
                <w:lang w:val="vi-VN"/>
              </w:rPr>
              <w:t xml:space="preserve">3. </w:t>
            </w:r>
            <w:r w:rsidRPr="003D6659">
              <w:rPr>
                <w:rFonts w:ascii="Times New Roman" w:hAnsi="Times New Roman" w:cs="Times New Roman"/>
                <w:b/>
                <w:bCs/>
                <w:sz w:val="26"/>
                <w:szCs w:val="26"/>
                <w:lang w:val="es-ES"/>
              </w:rPr>
              <w:t>Điều kiệ</w:t>
            </w:r>
            <w:r w:rsidR="00243C18" w:rsidRPr="003D6659">
              <w:rPr>
                <w:rFonts w:ascii="Times New Roman" w:hAnsi="Times New Roman" w:cs="Times New Roman"/>
                <w:b/>
                <w:bCs/>
                <w:sz w:val="26"/>
                <w:szCs w:val="26"/>
                <w:lang w:val="es-ES"/>
              </w:rPr>
              <w:t>n, tiêu chí, quy mô, tỷ lệ diện tích để tách thành dự án độc lập</w:t>
            </w:r>
          </w:p>
          <w:p w14:paraId="5880003B" w14:textId="77777777" w:rsidR="0083720C" w:rsidRPr="003D6659" w:rsidRDefault="008459AB" w:rsidP="004D736E">
            <w:pPr>
              <w:shd w:val="clear" w:color="auto" w:fill="FFFFFF"/>
              <w:jc w:val="both"/>
              <w:rPr>
                <w:rFonts w:ascii="Times New Roman" w:hAnsi="Times New Roman" w:cs="Times New Roman"/>
                <w:bCs/>
                <w:sz w:val="26"/>
                <w:szCs w:val="26"/>
              </w:rPr>
            </w:pPr>
            <w:r w:rsidRPr="003D6659">
              <w:rPr>
                <w:rFonts w:ascii="Times New Roman" w:hAnsi="Times New Roman" w:cs="Times New Roman"/>
                <w:bCs/>
                <w:sz w:val="26"/>
                <w:szCs w:val="26"/>
              </w:rPr>
              <w:t xml:space="preserve">Phần diện tích đất do cơ quan, tổ chức của Nhà nước quản lý được xem xét tách thành dự án độc lập phải đáp ứng đầy đủ các điều kiện, tiêu chí, quy mô, tỷ lệ sau: </w:t>
            </w:r>
          </w:p>
          <w:p w14:paraId="177488B2" w14:textId="77777777" w:rsidR="0083720C" w:rsidRPr="003D6659" w:rsidRDefault="008459AB" w:rsidP="004D736E">
            <w:pPr>
              <w:shd w:val="clear" w:color="auto" w:fill="FFFFFF"/>
              <w:jc w:val="both"/>
              <w:rPr>
                <w:rFonts w:ascii="Times New Roman" w:hAnsi="Times New Roman" w:cs="Times New Roman"/>
                <w:bCs/>
                <w:sz w:val="26"/>
                <w:szCs w:val="26"/>
              </w:rPr>
            </w:pPr>
            <w:r w:rsidRPr="003D6659">
              <w:rPr>
                <w:rFonts w:ascii="Times New Roman" w:hAnsi="Times New Roman" w:cs="Times New Roman"/>
                <w:bCs/>
                <w:sz w:val="26"/>
                <w:szCs w:val="26"/>
              </w:rPr>
              <w:t xml:space="preserve">1. Điều kiện </w:t>
            </w:r>
          </w:p>
          <w:p w14:paraId="283E26FA" w14:textId="518FDF40" w:rsidR="00243C18" w:rsidRPr="003D6659" w:rsidRDefault="008459AB" w:rsidP="004D736E">
            <w:pPr>
              <w:shd w:val="clear" w:color="auto" w:fill="FFFFFF"/>
              <w:jc w:val="both"/>
              <w:rPr>
                <w:rFonts w:ascii="Times New Roman" w:hAnsi="Times New Roman" w:cs="Times New Roman"/>
                <w:bCs/>
                <w:sz w:val="26"/>
                <w:szCs w:val="26"/>
                <w:lang w:val="zu-ZA"/>
              </w:rPr>
            </w:pPr>
            <w:r w:rsidRPr="003D6659">
              <w:rPr>
                <w:rFonts w:ascii="Times New Roman" w:hAnsi="Times New Roman" w:cs="Times New Roman"/>
                <w:bCs/>
                <w:sz w:val="26"/>
                <w:szCs w:val="26"/>
              </w:rPr>
              <w:t>a) Phủ hợp với quy hoạch sử dụng đất cấp huyện, quy hoạch phân khu tỷ lệ 1/2.000 hoặc 1/5.000 hoặc quy hoạch nông thôn đã được cơ quan nhà nước có thẩm quyền phê duyệt.</w:t>
            </w:r>
          </w:p>
          <w:p w14:paraId="4A8829B7" w14:textId="77777777" w:rsidR="0083720C" w:rsidRPr="003D6659" w:rsidRDefault="008459AB" w:rsidP="004D736E">
            <w:pPr>
              <w:shd w:val="clear" w:color="auto" w:fill="FFFFFF"/>
              <w:jc w:val="both"/>
              <w:rPr>
                <w:rFonts w:ascii="Times New Roman" w:hAnsi="Times New Roman" w:cs="Times New Roman"/>
                <w:bCs/>
                <w:sz w:val="26"/>
                <w:szCs w:val="26"/>
              </w:rPr>
            </w:pPr>
            <w:r w:rsidRPr="003D6659">
              <w:rPr>
                <w:rFonts w:ascii="Times New Roman" w:hAnsi="Times New Roman" w:cs="Times New Roman"/>
                <w:bCs/>
                <w:sz w:val="26"/>
                <w:szCs w:val="26"/>
              </w:rPr>
              <w:t xml:space="preserve">b) Phải là một thửa hoặc nhiều thửa đất liền kề nhau, không chia cắt bởi các thửa đất đã nhận quyền sử dụng đất hoặc đang có quyền sử dụng đất để thực hiện cùng dự án đầu tự đó đảm bảo có ít nhất một khu chức năng đầy đủ để vận hành, khai thác dự án đầu tư một cách độc lập, không chia cắt các khu chức năng; </w:t>
            </w:r>
          </w:p>
          <w:p w14:paraId="0E91E4A4" w14:textId="77777777" w:rsidR="00BA6AA5" w:rsidRPr="003D6659" w:rsidRDefault="0083720C" w:rsidP="004D736E">
            <w:pPr>
              <w:shd w:val="clear" w:color="auto" w:fill="FFFFFF"/>
              <w:jc w:val="both"/>
              <w:rPr>
                <w:rFonts w:ascii="Times New Roman" w:hAnsi="Times New Roman" w:cs="Times New Roman"/>
                <w:bCs/>
                <w:sz w:val="26"/>
                <w:szCs w:val="26"/>
              </w:rPr>
            </w:pPr>
            <w:r w:rsidRPr="003D6659">
              <w:rPr>
                <w:rFonts w:ascii="Times New Roman" w:hAnsi="Times New Roman" w:cs="Times New Roman"/>
                <w:bCs/>
                <w:sz w:val="26"/>
                <w:szCs w:val="26"/>
              </w:rPr>
              <w:t>c</w:t>
            </w:r>
            <w:r w:rsidR="008459AB" w:rsidRPr="003D6659">
              <w:rPr>
                <w:rFonts w:ascii="Times New Roman" w:hAnsi="Times New Roman" w:cs="Times New Roman"/>
                <w:bCs/>
                <w:sz w:val="26"/>
                <w:szCs w:val="26"/>
              </w:rPr>
              <w:t xml:space="preserve">) Không có tranh chấp, khiếu nại, vi phạm hoặc có tranh chấp, khiếu nại, vi phạm nhưng đã có văn bản giải quyết theo quy định của pháp luật. </w:t>
            </w:r>
          </w:p>
          <w:p w14:paraId="3E84DE98" w14:textId="77777777" w:rsidR="00BA6AA5" w:rsidRPr="003D6659" w:rsidRDefault="008459AB" w:rsidP="004D736E">
            <w:pPr>
              <w:shd w:val="clear" w:color="auto" w:fill="FFFFFF"/>
              <w:jc w:val="both"/>
              <w:rPr>
                <w:rFonts w:ascii="Times New Roman" w:hAnsi="Times New Roman" w:cs="Times New Roman"/>
                <w:bCs/>
                <w:sz w:val="26"/>
                <w:szCs w:val="26"/>
              </w:rPr>
            </w:pPr>
            <w:r w:rsidRPr="003D6659">
              <w:rPr>
                <w:rFonts w:ascii="Times New Roman" w:hAnsi="Times New Roman" w:cs="Times New Roman"/>
                <w:bCs/>
                <w:sz w:val="26"/>
                <w:szCs w:val="26"/>
              </w:rPr>
              <w:lastRenderedPageBreak/>
              <w:t xml:space="preserve">2. Tiêu chí </w:t>
            </w:r>
          </w:p>
          <w:p w14:paraId="6C2D3F83" w14:textId="77777777" w:rsidR="00BA6AA5" w:rsidRPr="003D6659" w:rsidRDefault="008459AB" w:rsidP="004D736E">
            <w:pPr>
              <w:shd w:val="clear" w:color="auto" w:fill="FFFFFF"/>
              <w:jc w:val="both"/>
              <w:rPr>
                <w:rFonts w:ascii="Times New Roman" w:hAnsi="Times New Roman" w:cs="Times New Roman"/>
                <w:bCs/>
                <w:sz w:val="26"/>
                <w:szCs w:val="26"/>
              </w:rPr>
            </w:pPr>
            <w:r w:rsidRPr="003D6659">
              <w:rPr>
                <w:rFonts w:ascii="Times New Roman" w:hAnsi="Times New Roman" w:cs="Times New Roman"/>
                <w:bCs/>
                <w:sz w:val="26"/>
                <w:szCs w:val="26"/>
              </w:rPr>
              <w:t xml:space="preserve">a) Có ít nhất một mặt tiếp giáp với đường giao thông hiện trạng hoặc đường giao thông theo quy hoạch; bảo đảm khả năng kết nối giao thông, hạ tâng kỹ thuật đồng bộ với quy hoạch tổng thể khu đất và khu vực hiện hữu có liên quan. b) Vị trí khu đất có kích thước cạnh tiếp giáp đường giao thông tại điểm a khoản này từ 5,0 m trở lên và chiêu sâu của cạnh khu đất không nhỏ hơn 15,0 m hoặc tôi thiếu bằng với kích thước của lô đất nằm trong Quy hoạch chi tiêt đã được cơ quan có thẩm quyền phê duyệt tại vị trí khu đất để tách dự án độc lập. </w:t>
            </w:r>
          </w:p>
          <w:p w14:paraId="7276C759" w14:textId="77777777" w:rsidR="00BA6AA5" w:rsidRPr="003D6659" w:rsidRDefault="008459AB" w:rsidP="004D736E">
            <w:pPr>
              <w:shd w:val="clear" w:color="auto" w:fill="FFFFFF"/>
              <w:jc w:val="both"/>
              <w:rPr>
                <w:rFonts w:ascii="Times New Roman" w:hAnsi="Times New Roman" w:cs="Times New Roman"/>
                <w:bCs/>
                <w:sz w:val="26"/>
                <w:szCs w:val="26"/>
              </w:rPr>
            </w:pPr>
            <w:r w:rsidRPr="003D6659">
              <w:rPr>
                <w:rFonts w:ascii="Times New Roman" w:hAnsi="Times New Roman" w:cs="Times New Roman"/>
                <w:bCs/>
                <w:sz w:val="26"/>
                <w:szCs w:val="26"/>
              </w:rPr>
              <w:t xml:space="preserve">3. Quy mô, tỷ lệ </w:t>
            </w:r>
          </w:p>
          <w:p w14:paraId="4B39DAAA" w14:textId="77777777" w:rsidR="00BA6AA5" w:rsidRPr="003D6659" w:rsidRDefault="008459AB" w:rsidP="004D736E">
            <w:pPr>
              <w:shd w:val="clear" w:color="auto" w:fill="FFFFFF"/>
              <w:jc w:val="both"/>
              <w:rPr>
                <w:rFonts w:ascii="Times New Roman" w:hAnsi="Times New Roman" w:cs="Times New Roman"/>
                <w:bCs/>
                <w:sz w:val="26"/>
                <w:szCs w:val="26"/>
              </w:rPr>
            </w:pPr>
            <w:r w:rsidRPr="003D6659">
              <w:rPr>
                <w:rFonts w:ascii="Times New Roman" w:hAnsi="Times New Roman" w:cs="Times New Roman"/>
                <w:bCs/>
                <w:sz w:val="26"/>
                <w:szCs w:val="26"/>
              </w:rPr>
              <w:t xml:space="preserve">a) Nhóm dự án cơ sở sản xuất phi nông nghiệp; thương mại, dịch vụ; nhà ở: </w:t>
            </w:r>
          </w:p>
          <w:p w14:paraId="477EC884" w14:textId="77777777" w:rsidR="00BA6AA5" w:rsidRPr="003D6659" w:rsidRDefault="008459AB" w:rsidP="004D736E">
            <w:pPr>
              <w:shd w:val="clear" w:color="auto" w:fill="FFFFFF"/>
              <w:jc w:val="both"/>
              <w:rPr>
                <w:rFonts w:ascii="Times New Roman" w:hAnsi="Times New Roman" w:cs="Times New Roman"/>
                <w:bCs/>
                <w:sz w:val="26"/>
                <w:szCs w:val="26"/>
              </w:rPr>
            </w:pPr>
            <w:r w:rsidRPr="003D6659">
              <w:rPr>
                <w:rFonts w:ascii="Times New Roman" w:hAnsi="Times New Roman" w:cs="Times New Roman"/>
                <w:bCs/>
                <w:sz w:val="26"/>
                <w:szCs w:val="26"/>
              </w:rPr>
              <w:t xml:space="preserve">- Đồi với dự án thực hiện tại địa bàn quận Hải Châu, Thanh Khê, Sơn Trà: Phần diện tích đất đủ điều kiện tách thành dự án độc lập tối thiểu là 150m và chiếm từ 10% trở lên so với diện tích khu đất thực hiện dự án. </w:t>
            </w:r>
          </w:p>
          <w:p w14:paraId="11F6E067" w14:textId="77777777" w:rsidR="00BA6AA5" w:rsidRPr="003D6659" w:rsidRDefault="008459AB" w:rsidP="004D736E">
            <w:pPr>
              <w:shd w:val="clear" w:color="auto" w:fill="FFFFFF"/>
              <w:jc w:val="both"/>
              <w:rPr>
                <w:rFonts w:ascii="Times New Roman" w:hAnsi="Times New Roman" w:cs="Times New Roman"/>
                <w:bCs/>
                <w:sz w:val="26"/>
                <w:szCs w:val="26"/>
              </w:rPr>
            </w:pPr>
            <w:r w:rsidRPr="003D6659">
              <w:rPr>
                <w:rFonts w:ascii="Times New Roman" w:hAnsi="Times New Roman" w:cs="Times New Roman"/>
                <w:bCs/>
                <w:sz w:val="26"/>
                <w:szCs w:val="26"/>
              </w:rPr>
              <w:t xml:space="preserve">- Đối với dự án thực hiện tại địa bàn quận Ngũ Hành Sơn, Liện </w:t>
            </w:r>
            <w:r w:rsidRPr="003D6659">
              <w:rPr>
                <w:rFonts w:ascii="Times New Roman" w:hAnsi="Times New Roman" w:cs="Times New Roman"/>
                <w:bCs/>
                <w:sz w:val="26"/>
                <w:szCs w:val="26"/>
              </w:rPr>
              <w:lastRenderedPageBreak/>
              <w:t xml:space="preserve">Chiểu, Cẩm Lệ: Phần diện tích đất đủ điều kiện tách thành dự án độc lập tối thiểu là 200m và chiếm từ 10% trở lên so với diện tích khu đất thực hiện dự án. </w:t>
            </w:r>
          </w:p>
          <w:p w14:paraId="6A5C24D1" w14:textId="77777777" w:rsidR="00BA6AA5" w:rsidRPr="003D6659" w:rsidRDefault="008459AB" w:rsidP="004D736E">
            <w:pPr>
              <w:shd w:val="clear" w:color="auto" w:fill="FFFFFF"/>
              <w:jc w:val="both"/>
              <w:rPr>
                <w:rFonts w:ascii="Times New Roman" w:hAnsi="Times New Roman" w:cs="Times New Roman"/>
                <w:bCs/>
                <w:sz w:val="26"/>
                <w:szCs w:val="26"/>
              </w:rPr>
            </w:pPr>
            <w:r w:rsidRPr="003D6659">
              <w:rPr>
                <w:rFonts w:ascii="Times New Roman" w:hAnsi="Times New Roman" w:cs="Times New Roman"/>
                <w:bCs/>
                <w:sz w:val="26"/>
                <w:szCs w:val="26"/>
              </w:rPr>
              <w:t xml:space="preserve">- Đối với dự án thực hiện tại địa bàn huyện Hòà Vang: Phần diện tích đất đủ điều kiện tách thành dự án độc lập tối thiểu là 300m và chiếm từ 10% trở lên so với diện tích khu đất thực hiện dự án. </w:t>
            </w:r>
          </w:p>
          <w:p w14:paraId="31CA7CF4" w14:textId="77777777" w:rsidR="00BA6AA5" w:rsidRPr="003D6659" w:rsidRDefault="008459AB" w:rsidP="004D736E">
            <w:pPr>
              <w:shd w:val="clear" w:color="auto" w:fill="FFFFFF"/>
              <w:jc w:val="both"/>
              <w:rPr>
                <w:rFonts w:ascii="Times New Roman" w:hAnsi="Times New Roman" w:cs="Times New Roman"/>
                <w:bCs/>
                <w:sz w:val="26"/>
                <w:szCs w:val="26"/>
              </w:rPr>
            </w:pPr>
            <w:r w:rsidRPr="003D6659">
              <w:rPr>
                <w:rFonts w:ascii="Times New Roman" w:hAnsi="Times New Roman" w:cs="Times New Roman"/>
                <w:bCs/>
                <w:sz w:val="26"/>
                <w:szCs w:val="26"/>
              </w:rPr>
              <w:t>b) Nhóm dự án khác không thuộc trường hợp quy định tạ</w:t>
            </w:r>
            <w:r w:rsidR="00BA6AA5" w:rsidRPr="003D6659">
              <w:rPr>
                <w:rFonts w:ascii="Times New Roman" w:hAnsi="Times New Roman" w:cs="Times New Roman"/>
                <w:bCs/>
                <w:sz w:val="26"/>
                <w:szCs w:val="26"/>
              </w:rPr>
              <w:t>i điểm</w:t>
            </w:r>
            <w:r w:rsidRPr="003D6659">
              <w:rPr>
                <w:rFonts w:ascii="Times New Roman" w:hAnsi="Times New Roman" w:cs="Times New Roman"/>
                <w:bCs/>
                <w:sz w:val="26"/>
                <w:szCs w:val="26"/>
              </w:rPr>
              <w:t xml:space="preserve"> a khoản 3 Điêu này: Phần diện tích đất đủ điều kiện tách thành dự án độc lập tối thiểu là và chiếm từ 10% trở lên so với diện tích khu đất thực hiện dự án. </w:t>
            </w:r>
          </w:p>
          <w:p w14:paraId="088EB211" w14:textId="0FDD2469" w:rsidR="005A05AC" w:rsidRPr="003D6659" w:rsidRDefault="008459AB" w:rsidP="004D736E">
            <w:pPr>
              <w:shd w:val="clear" w:color="auto" w:fill="FFFFFF"/>
              <w:jc w:val="both"/>
              <w:rPr>
                <w:rFonts w:ascii="Times New Roman" w:hAnsi="Times New Roman" w:cs="Times New Roman"/>
                <w:bCs/>
                <w:sz w:val="26"/>
                <w:szCs w:val="26"/>
              </w:rPr>
            </w:pPr>
            <w:r w:rsidRPr="003D6659">
              <w:rPr>
                <w:rFonts w:ascii="Times New Roman" w:hAnsi="Times New Roman" w:cs="Times New Roman"/>
                <w:bCs/>
                <w:sz w:val="26"/>
                <w:szCs w:val="26"/>
              </w:rPr>
              <w:t>c) Đối với trường hợp mở rộng diện tích đất thực hiện dự án thì việc xác định tỷ lệ diện tích đất theo quy định trên chỉ tính trên phần diện tích mở rộng.</w:t>
            </w:r>
          </w:p>
          <w:p w14:paraId="47284618" w14:textId="313D52A7" w:rsidR="008459AB" w:rsidRPr="003D6659" w:rsidRDefault="008459AB" w:rsidP="004D736E">
            <w:pPr>
              <w:shd w:val="clear" w:color="auto" w:fill="FFFFFF"/>
              <w:jc w:val="both"/>
              <w:rPr>
                <w:rFonts w:ascii="Times New Roman" w:hAnsi="Times New Roman" w:cs="Times New Roman"/>
                <w:bCs/>
                <w:sz w:val="26"/>
                <w:szCs w:val="26"/>
                <w:lang w:val="zu-ZA"/>
              </w:rPr>
            </w:pPr>
            <w:r w:rsidRPr="003D6659">
              <w:rPr>
                <w:rFonts w:ascii="Times New Roman" w:hAnsi="Times New Roman" w:cs="Times New Roman"/>
                <w:bCs/>
                <w:sz w:val="26"/>
                <w:szCs w:val="26"/>
              </w:rPr>
              <w:t>d) Phần diện tích đất quy định tại khoản 3 Điều này không bao gồm phần diện tích trong hành lang bảo vệ an toàn công trình theo quy hoạch đã được phê duyệt.</w:t>
            </w:r>
          </w:p>
        </w:tc>
        <w:tc>
          <w:tcPr>
            <w:tcW w:w="3827" w:type="dxa"/>
          </w:tcPr>
          <w:p w14:paraId="5FBDA3F7" w14:textId="77777777" w:rsidR="005A05AC" w:rsidRPr="003D6659" w:rsidRDefault="00356AB7" w:rsidP="004D736E">
            <w:pPr>
              <w:shd w:val="clear" w:color="auto" w:fill="FFFFFF"/>
              <w:ind w:left="60"/>
              <w:jc w:val="both"/>
              <w:rPr>
                <w:rFonts w:ascii="Times New Roman" w:hAnsi="Times New Roman" w:cs="Times New Roman"/>
                <w:b/>
                <w:bCs/>
                <w:sz w:val="26"/>
                <w:szCs w:val="26"/>
              </w:rPr>
            </w:pPr>
            <w:r w:rsidRPr="003D6659">
              <w:rPr>
                <w:rFonts w:ascii="Times New Roman" w:hAnsi="Times New Roman" w:cs="Times New Roman"/>
                <w:b/>
                <w:bCs/>
                <w:sz w:val="26"/>
                <w:szCs w:val="26"/>
              </w:rPr>
              <w:lastRenderedPageBreak/>
              <w:t>Điề</w:t>
            </w:r>
            <w:r w:rsidR="00243C18" w:rsidRPr="003D6659">
              <w:rPr>
                <w:rFonts w:ascii="Times New Roman" w:hAnsi="Times New Roman" w:cs="Times New Roman"/>
                <w:b/>
                <w:bCs/>
                <w:sz w:val="26"/>
                <w:szCs w:val="26"/>
              </w:rPr>
              <w:t>u 4</w:t>
            </w:r>
            <w:r w:rsidRPr="003D6659">
              <w:rPr>
                <w:rFonts w:ascii="Times New Roman" w:hAnsi="Times New Roman" w:cs="Times New Roman"/>
                <w:b/>
                <w:bCs/>
                <w:sz w:val="26"/>
                <w:szCs w:val="26"/>
              </w:rPr>
              <w:t xml:space="preserve">. </w:t>
            </w:r>
            <w:r w:rsidR="00243C18" w:rsidRPr="003D6659">
              <w:rPr>
                <w:rFonts w:ascii="Times New Roman" w:hAnsi="Times New Roman" w:cs="Times New Roman"/>
                <w:b/>
                <w:bCs/>
                <w:sz w:val="26"/>
                <w:szCs w:val="26"/>
              </w:rPr>
              <w:t>Điều kiện, tiêu chí, quy mô, tỷ lệ, diện tích đất công để tách thành dự án độc lập</w:t>
            </w:r>
          </w:p>
          <w:p w14:paraId="2CFBDE1A" w14:textId="77777777" w:rsidR="00054434" w:rsidRPr="003D6659" w:rsidRDefault="004D736E" w:rsidP="004D736E">
            <w:pPr>
              <w:shd w:val="clear" w:color="auto" w:fill="FFFFFF"/>
              <w:ind w:left="60"/>
              <w:jc w:val="both"/>
              <w:rPr>
                <w:rFonts w:ascii="Times New Roman" w:hAnsi="Times New Roman" w:cs="Times New Roman"/>
                <w:bCs/>
                <w:sz w:val="26"/>
                <w:szCs w:val="26"/>
              </w:rPr>
            </w:pPr>
            <w:r w:rsidRPr="003D6659">
              <w:rPr>
                <w:rFonts w:ascii="Times New Roman" w:hAnsi="Times New Roman" w:cs="Times New Roman"/>
                <w:bCs/>
                <w:sz w:val="26"/>
                <w:szCs w:val="26"/>
              </w:rPr>
              <w:t>1. Phần diện tích đất công để xem xét tách thành dự án độc lập phải đáp ứng các điều kiện sau:</w:t>
            </w:r>
          </w:p>
          <w:p w14:paraId="0E3D8BED" w14:textId="77777777" w:rsidR="004D736E" w:rsidRPr="003D6659" w:rsidRDefault="004D736E" w:rsidP="004D736E">
            <w:pPr>
              <w:shd w:val="clear" w:color="auto" w:fill="FFFFFF"/>
              <w:ind w:left="60"/>
              <w:jc w:val="both"/>
              <w:rPr>
                <w:rFonts w:ascii="Times New Roman" w:hAnsi="Times New Roman" w:cs="Times New Roman"/>
                <w:bCs/>
                <w:sz w:val="26"/>
                <w:szCs w:val="26"/>
              </w:rPr>
            </w:pPr>
            <w:r w:rsidRPr="003D6659">
              <w:rPr>
                <w:rFonts w:ascii="Times New Roman" w:hAnsi="Times New Roman" w:cs="Times New Roman"/>
                <w:bCs/>
                <w:sz w:val="26"/>
                <w:szCs w:val="26"/>
              </w:rPr>
              <w:t>a) Phù hợp với quy hoạch sử dụng đất cấp huyện đã được Ủy ban nhân dân tỉnh phê duyệt hoặc phù hợp với quy hoạch chung đô thị hoặc quy hoạch phân khu (nếu có), quy hoạch chi tiết (nếu có), quy chế quản lý kiến trúc đô thị (nếu có), quy chế quản lý kiến trúc điểm dân cư nông thôn (nếu có), đảm bảo kết nối hạ tầng kỹ thuật đồng bộ với dự án đầu tư liền kề hoặc khu vực hiện hữu có liên quan được phê duyệt theo quy định.</w:t>
            </w:r>
          </w:p>
          <w:p w14:paraId="6A2DA9AF" w14:textId="77777777" w:rsidR="004D736E" w:rsidRPr="003D6659" w:rsidRDefault="004D736E" w:rsidP="004D736E">
            <w:pPr>
              <w:shd w:val="clear" w:color="auto" w:fill="FFFFFF"/>
              <w:ind w:left="60"/>
              <w:jc w:val="both"/>
              <w:rPr>
                <w:rFonts w:ascii="Times New Roman" w:hAnsi="Times New Roman" w:cs="Times New Roman"/>
                <w:bCs/>
                <w:sz w:val="26"/>
                <w:szCs w:val="26"/>
              </w:rPr>
            </w:pPr>
            <w:r w:rsidRPr="003D6659">
              <w:rPr>
                <w:rFonts w:ascii="Times New Roman" w:hAnsi="Times New Roman" w:cs="Times New Roman"/>
                <w:bCs/>
                <w:sz w:val="26"/>
                <w:szCs w:val="26"/>
              </w:rPr>
              <w:t>b) Đối với dự án khu du lịch phải tuân thủ theo quy hoạch phân khu chức năng được duyệt.</w:t>
            </w:r>
          </w:p>
          <w:p w14:paraId="74D38D51" w14:textId="77777777" w:rsidR="004D736E" w:rsidRPr="003D6659" w:rsidRDefault="004D736E" w:rsidP="004D736E">
            <w:pPr>
              <w:shd w:val="clear" w:color="auto" w:fill="FFFFFF"/>
              <w:ind w:left="60"/>
              <w:jc w:val="both"/>
              <w:rPr>
                <w:rFonts w:ascii="Times New Roman" w:hAnsi="Times New Roman" w:cs="Times New Roman"/>
                <w:bCs/>
                <w:sz w:val="26"/>
                <w:szCs w:val="26"/>
              </w:rPr>
            </w:pPr>
            <w:r w:rsidRPr="003D6659">
              <w:rPr>
                <w:rFonts w:ascii="Times New Roman" w:hAnsi="Times New Roman" w:cs="Times New Roman"/>
                <w:bCs/>
                <w:sz w:val="26"/>
                <w:szCs w:val="26"/>
              </w:rPr>
              <w:t xml:space="preserve">c) Đối với dự án sân gôn phải tuân thủ theo quy hoạch phân khu chức năng đã được phê duyệt và đáp ứng điều kiện về xây dựng, mở rộng sân gôn theo quy định tại Nghị định số 52/2020/NĐ-CP ngày 27 tháng 4 năm 2020 của </w:t>
            </w:r>
            <w:r w:rsidRPr="003D6659">
              <w:rPr>
                <w:rFonts w:ascii="Times New Roman" w:hAnsi="Times New Roman" w:cs="Times New Roman"/>
                <w:bCs/>
                <w:sz w:val="26"/>
                <w:szCs w:val="26"/>
              </w:rPr>
              <w:lastRenderedPageBreak/>
              <w:t>Chính phủ quy định đầu tư xây dựng và kinh doanh sân gôn.</w:t>
            </w:r>
          </w:p>
          <w:p w14:paraId="72E14818" w14:textId="77777777" w:rsidR="004D736E" w:rsidRPr="003D6659" w:rsidRDefault="004D736E" w:rsidP="004D736E">
            <w:pPr>
              <w:shd w:val="clear" w:color="auto" w:fill="FFFFFF"/>
              <w:ind w:left="60"/>
              <w:jc w:val="both"/>
              <w:rPr>
                <w:rFonts w:ascii="Times New Roman" w:hAnsi="Times New Roman" w:cs="Times New Roman"/>
                <w:bCs/>
                <w:sz w:val="26"/>
                <w:szCs w:val="26"/>
              </w:rPr>
            </w:pPr>
            <w:r w:rsidRPr="003D6659">
              <w:rPr>
                <w:rFonts w:ascii="Times New Roman" w:hAnsi="Times New Roman" w:cs="Times New Roman"/>
                <w:bCs/>
                <w:sz w:val="26"/>
                <w:szCs w:val="26"/>
              </w:rPr>
              <w:t>d) Đảm bảo diện tích đất tối thiểu theo quy chuẩn kỹ thuật quốc gia về quy hoạch xây dựng tại Thông tư số 01/2021/TT-BXD ngày 19 tháng 5 năm 2021 của Bộ Xây dựng Ban hành QCVN 01:2021/BXD quy chuẩn kỹ thuật quốc gia về quy hoạch xây dựng hoặc quy định của pháp luật đối với từng loại dự án.</w:t>
            </w:r>
          </w:p>
          <w:p w14:paraId="4797C1AC" w14:textId="77777777" w:rsidR="004D736E" w:rsidRPr="003D6659" w:rsidRDefault="004D736E" w:rsidP="004D736E">
            <w:pPr>
              <w:shd w:val="clear" w:color="auto" w:fill="FFFFFF"/>
              <w:ind w:left="60"/>
              <w:jc w:val="both"/>
              <w:rPr>
                <w:rFonts w:ascii="Times New Roman" w:hAnsi="Times New Roman" w:cs="Times New Roman"/>
                <w:bCs/>
                <w:sz w:val="26"/>
                <w:szCs w:val="26"/>
              </w:rPr>
            </w:pPr>
            <w:r w:rsidRPr="003D6659">
              <w:rPr>
                <w:rFonts w:ascii="Times New Roman" w:hAnsi="Times New Roman" w:cs="Times New Roman"/>
                <w:bCs/>
                <w:sz w:val="26"/>
                <w:szCs w:val="26"/>
              </w:rPr>
              <w:t>đ) Đảm bảo diện tích, mục tiêu thuộc dự án phát triển kinh tế - xã hội nằm trong danh mục dự án thu hút đầu tư được Ủy ban nhân dân tỉnh ban hành.</w:t>
            </w:r>
          </w:p>
          <w:p w14:paraId="23EDAE31" w14:textId="77777777" w:rsidR="004D736E" w:rsidRPr="003D6659" w:rsidRDefault="004D736E" w:rsidP="004D736E">
            <w:pPr>
              <w:shd w:val="clear" w:color="auto" w:fill="FFFFFF"/>
              <w:ind w:left="60"/>
              <w:jc w:val="both"/>
              <w:rPr>
                <w:rFonts w:ascii="Times New Roman" w:hAnsi="Times New Roman" w:cs="Times New Roman"/>
                <w:bCs/>
                <w:sz w:val="26"/>
                <w:szCs w:val="26"/>
              </w:rPr>
            </w:pPr>
            <w:r w:rsidRPr="003D6659">
              <w:rPr>
                <w:rFonts w:ascii="Times New Roman" w:hAnsi="Times New Roman" w:cs="Times New Roman"/>
                <w:bCs/>
                <w:sz w:val="26"/>
                <w:szCs w:val="26"/>
              </w:rPr>
              <w:t>e) Gồm một thửa đất hoặc nhiều thửa đất liền kề, liền vùng.</w:t>
            </w:r>
          </w:p>
          <w:p w14:paraId="704044F2" w14:textId="77777777" w:rsidR="004D736E" w:rsidRPr="003D6659" w:rsidRDefault="004D736E" w:rsidP="004D736E">
            <w:pPr>
              <w:shd w:val="clear" w:color="auto" w:fill="FFFFFF"/>
              <w:ind w:left="60"/>
              <w:jc w:val="both"/>
              <w:rPr>
                <w:rFonts w:ascii="Times New Roman" w:hAnsi="Times New Roman" w:cs="Times New Roman"/>
                <w:bCs/>
                <w:sz w:val="26"/>
                <w:szCs w:val="26"/>
              </w:rPr>
            </w:pPr>
            <w:r w:rsidRPr="003D6659">
              <w:rPr>
                <w:rFonts w:ascii="Times New Roman" w:hAnsi="Times New Roman" w:cs="Times New Roman"/>
                <w:bCs/>
                <w:sz w:val="26"/>
                <w:szCs w:val="26"/>
              </w:rPr>
              <w:t xml:space="preserve">g) Có ít nhất một mặt tiếp giáp với đường giao thông hiện trạng (phải phù hợp với quy hoạch) hoặc có quy hoạch đường giao thông cấp VI trở lên và đường đô thị loại V trở lên sau khi đã trừ hành lang an toàn đường bộ hoặc đường xây dựng theo quy hoạch được duyệt (nếu có), chiều dài tối thiểu bề mặt tiếp giáp với đường giao thông là 20 m (không áp </w:t>
            </w:r>
            <w:r w:rsidRPr="003D6659">
              <w:rPr>
                <w:rFonts w:ascii="Times New Roman" w:hAnsi="Times New Roman" w:cs="Times New Roman"/>
                <w:bCs/>
                <w:sz w:val="26"/>
                <w:szCs w:val="26"/>
              </w:rPr>
              <w:lastRenderedPageBreak/>
              <w:t>dụng đối với các khu đất cồn, bãi ven sông).</w:t>
            </w:r>
          </w:p>
          <w:p w14:paraId="6CA1EC20" w14:textId="77777777" w:rsidR="004D736E" w:rsidRPr="003D6659" w:rsidRDefault="004D736E" w:rsidP="004D736E">
            <w:pPr>
              <w:shd w:val="clear" w:color="auto" w:fill="FFFFFF"/>
              <w:ind w:left="60"/>
              <w:jc w:val="both"/>
              <w:rPr>
                <w:rFonts w:ascii="Times New Roman" w:hAnsi="Times New Roman" w:cs="Times New Roman"/>
                <w:bCs/>
                <w:sz w:val="26"/>
                <w:szCs w:val="26"/>
              </w:rPr>
            </w:pPr>
            <w:r w:rsidRPr="003D6659">
              <w:rPr>
                <w:rFonts w:ascii="Times New Roman" w:hAnsi="Times New Roman" w:cs="Times New Roman"/>
                <w:bCs/>
                <w:sz w:val="26"/>
                <w:szCs w:val="26"/>
              </w:rPr>
              <w:t>h) Phần diện tích nằm trong khu đất thực hiện dự án đầu tư phải liền kề, liền vùng và có thể tạo thành thửa đất có chiều dài cạnh tối thiểu là 30 m.</w:t>
            </w:r>
          </w:p>
          <w:p w14:paraId="1AEC7D57" w14:textId="77777777" w:rsidR="004D736E" w:rsidRPr="003D6659" w:rsidRDefault="004D736E" w:rsidP="004D736E">
            <w:pPr>
              <w:shd w:val="clear" w:color="auto" w:fill="FFFFFF"/>
              <w:ind w:left="60"/>
              <w:jc w:val="both"/>
              <w:rPr>
                <w:rFonts w:ascii="Times New Roman" w:hAnsi="Times New Roman" w:cs="Times New Roman"/>
                <w:bCs/>
                <w:sz w:val="26"/>
                <w:szCs w:val="26"/>
              </w:rPr>
            </w:pPr>
            <w:r w:rsidRPr="003D6659">
              <w:rPr>
                <w:rFonts w:ascii="Times New Roman" w:hAnsi="Times New Roman" w:cs="Times New Roman"/>
                <w:bCs/>
                <w:sz w:val="26"/>
                <w:szCs w:val="26"/>
              </w:rPr>
              <w:t>2. Đối với phần diện tích đất công đáp ứng các điều kiện tại khoản 1 Điều này phải đáp ứng các tiêu chí, quy mô, tỷ lệ để tách thành dự án độc lập như sau:</w:t>
            </w:r>
          </w:p>
          <w:p w14:paraId="7D9133DD" w14:textId="77777777" w:rsidR="004D736E" w:rsidRPr="003D6659" w:rsidRDefault="004D736E" w:rsidP="004D736E">
            <w:pPr>
              <w:shd w:val="clear" w:color="auto" w:fill="FFFFFF"/>
              <w:ind w:left="60"/>
              <w:jc w:val="both"/>
              <w:rPr>
                <w:rFonts w:ascii="Times New Roman" w:hAnsi="Times New Roman" w:cs="Times New Roman"/>
                <w:bCs/>
                <w:sz w:val="26"/>
                <w:szCs w:val="26"/>
              </w:rPr>
            </w:pPr>
            <w:r w:rsidRPr="003D6659">
              <w:rPr>
                <w:rFonts w:ascii="Times New Roman" w:hAnsi="Times New Roman" w:cs="Times New Roman"/>
                <w:bCs/>
                <w:sz w:val="26"/>
                <w:szCs w:val="26"/>
              </w:rPr>
              <w:t>a) Đối với các dự án tại các phường, thị trấn: Tỷ lệ phần diện tích đất công đủ điều kiện tách thành dự án độc lập chiếm từ 30% trở lên so với tổng diện tích khu đất đề xuất thực hiện dự án và có diện tích tối thiểu là 0,30 ha.</w:t>
            </w:r>
          </w:p>
          <w:p w14:paraId="27F85531" w14:textId="77777777" w:rsidR="004D736E" w:rsidRPr="003D6659" w:rsidRDefault="004D736E" w:rsidP="004D736E">
            <w:pPr>
              <w:shd w:val="clear" w:color="auto" w:fill="FFFFFF"/>
              <w:ind w:left="60"/>
              <w:jc w:val="both"/>
              <w:rPr>
                <w:rFonts w:ascii="Times New Roman" w:hAnsi="Times New Roman" w:cs="Times New Roman"/>
                <w:bCs/>
                <w:sz w:val="26"/>
                <w:szCs w:val="26"/>
              </w:rPr>
            </w:pPr>
            <w:r w:rsidRPr="003D6659">
              <w:rPr>
                <w:rFonts w:ascii="Times New Roman" w:hAnsi="Times New Roman" w:cs="Times New Roman"/>
                <w:bCs/>
                <w:sz w:val="26"/>
                <w:szCs w:val="26"/>
              </w:rPr>
              <w:t xml:space="preserve">b) Đối với các dự án tại các địa bàn còn lại: Tỷ lệ phần diện tích đất công đủ điều kiện tách thành dự án độc lập chiếm từ 40% trở lên so với tổng diện tích khu đất đề xuất thực hiện dự án và có diện tích tối thiểu là 0,30 ha; thực hiện tại địa bàn có điều kiện kinh tế - xã hội đặc biệt khó khăn thì diện tích tối thiểu từ 0,5 ha trở </w:t>
            </w:r>
            <w:r w:rsidRPr="003D6659">
              <w:rPr>
                <w:rFonts w:ascii="Times New Roman" w:hAnsi="Times New Roman" w:cs="Times New Roman"/>
                <w:bCs/>
                <w:sz w:val="26"/>
                <w:szCs w:val="26"/>
              </w:rPr>
              <w:lastRenderedPageBreak/>
              <w:t xml:space="preserve">lên, thực hiện tại địa bàn có điều kiện kinh tế khó khăn thì diện tích tối thiểu từ 01 ha trở lên. </w:t>
            </w:r>
          </w:p>
          <w:p w14:paraId="0D60DCA9" w14:textId="77777777" w:rsidR="004D736E" w:rsidRPr="003D6659" w:rsidRDefault="004D736E" w:rsidP="004D736E">
            <w:pPr>
              <w:shd w:val="clear" w:color="auto" w:fill="FFFFFF"/>
              <w:ind w:left="60"/>
              <w:jc w:val="both"/>
              <w:rPr>
                <w:rFonts w:ascii="Times New Roman" w:hAnsi="Times New Roman" w:cs="Times New Roman"/>
                <w:bCs/>
                <w:sz w:val="26"/>
                <w:szCs w:val="26"/>
              </w:rPr>
            </w:pPr>
            <w:r w:rsidRPr="003D6659">
              <w:rPr>
                <w:rFonts w:ascii="Times New Roman" w:hAnsi="Times New Roman" w:cs="Times New Roman"/>
                <w:bCs/>
                <w:sz w:val="26"/>
                <w:szCs w:val="26"/>
              </w:rPr>
              <w:t>c) Đối với các dự án nằm trên hai địa bàn trở lên theo quy định tại điểm a và điểm b khoản này thì xét theo tiêu chí tỷ lệ tại địa bàn có phần diện tích đất công lớn hơn.</w:t>
            </w:r>
          </w:p>
          <w:p w14:paraId="57FDFBB6" w14:textId="77777777" w:rsidR="004D736E" w:rsidRPr="003D6659" w:rsidRDefault="004D736E" w:rsidP="004D736E">
            <w:pPr>
              <w:shd w:val="clear" w:color="auto" w:fill="FFFFFF"/>
              <w:ind w:left="60"/>
              <w:jc w:val="both"/>
              <w:rPr>
                <w:rFonts w:ascii="Times New Roman" w:hAnsi="Times New Roman" w:cs="Times New Roman"/>
                <w:bCs/>
                <w:sz w:val="26"/>
                <w:szCs w:val="26"/>
              </w:rPr>
            </w:pPr>
            <w:r w:rsidRPr="003D6659">
              <w:rPr>
                <w:rFonts w:ascii="Times New Roman" w:hAnsi="Times New Roman" w:cs="Times New Roman"/>
                <w:bCs/>
                <w:sz w:val="26"/>
                <w:szCs w:val="26"/>
              </w:rPr>
              <w:t>d) Đối với dự án sân gôn: Tỷ lệ phần diện tích đất công đủ điều kiện tách thành dự án độc lập chiếm trên 80% so với tổng diện tích khu đất đề xuất thực hiện dự án.</w:t>
            </w:r>
          </w:p>
          <w:p w14:paraId="6F15E474" w14:textId="45AE576C" w:rsidR="004D736E" w:rsidRPr="003D6659" w:rsidRDefault="004D736E" w:rsidP="004D736E">
            <w:pPr>
              <w:shd w:val="clear" w:color="auto" w:fill="FFFFFF"/>
              <w:ind w:left="60"/>
              <w:jc w:val="both"/>
              <w:rPr>
                <w:rFonts w:ascii="Times New Roman" w:hAnsi="Times New Roman" w:cs="Times New Roman"/>
                <w:bCs/>
                <w:sz w:val="26"/>
                <w:szCs w:val="26"/>
              </w:rPr>
            </w:pPr>
            <w:r w:rsidRPr="003D6659">
              <w:rPr>
                <w:rFonts w:ascii="Times New Roman" w:hAnsi="Times New Roman" w:cs="Times New Roman"/>
                <w:bCs/>
                <w:sz w:val="26"/>
                <w:szCs w:val="26"/>
              </w:rPr>
              <w:t>3. Trường hợp diện tích đất không đủ điều kiện, tiêu chí, quy mô, tỷ lệ để tách thành dự án độc lập theo quy định tại khoản 1 và khoản 2 Điều này thì được đưa vào tổng diện tích đất để lập dự án và được Nhà nước thu hồi để giao, cho thuê cho nhà đầu tư thực hiện dự án không thông qua đấu giá quyền sử dụng đất, không phải đấu thầu lựa chọn nhà đầu tư thực hiện dự án có sử dụng đất.</w:t>
            </w:r>
          </w:p>
        </w:tc>
        <w:tc>
          <w:tcPr>
            <w:tcW w:w="3827" w:type="dxa"/>
          </w:tcPr>
          <w:p w14:paraId="4B804E89" w14:textId="58377683" w:rsidR="00243C18" w:rsidRPr="003D6659" w:rsidRDefault="00DD18CE" w:rsidP="004D736E">
            <w:pPr>
              <w:shd w:val="clear" w:color="auto" w:fill="FFFFFF"/>
              <w:ind w:left="60"/>
              <w:jc w:val="both"/>
              <w:rPr>
                <w:rFonts w:ascii="Times New Roman" w:hAnsi="Times New Roman" w:cs="Times New Roman"/>
                <w:b/>
                <w:bCs/>
                <w:sz w:val="26"/>
                <w:szCs w:val="26"/>
                <w:lang w:val="nl-NL"/>
              </w:rPr>
            </w:pPr>
            <w:r w:rsidRPr="003D6659">
              <w:rPr>
                <w:rFonts w:ascii="Times New Roman" w:hAnsi="Times New Roman" w:cs="Times New Roman"/>
                <w:b/>
                <w:bCs/>
                <w:sz w:val="26"/>
                <w:szCs w:val="26"/>
              </w:rPr>
              <w:lastRenderedPageBreak/>
              <w:t xml:space="preserve">Điều </w:t>
            </w:r>
            <w:r w:rsidR="00243C18" w:rsidRPr="003D6659">
              <w:rPr>
                <w:rFonts w:ascii="Times New Roman" w:hAnsi="Times New Roman" w:cs="Times New Roman"/>
                <w:b/>
                <w:bCs/>
                <w:sz w:val="26"/>
                <w:szCs w:val="26"/>
              </w:rPr>
              <w:t>4</w:t>
            </w:r>
            <w:r w:rsidR="00243C18" w:rsidRPr="003D6659">
              <w:rPr>
                <w:rFonts w:ascii="Times New Roman" w:hAnsi="Times New Roman" w:cs="Times New Roman"/>
                <w:b/>
                <w:bCs/>
                <w:sz w:val="26"/>
                <w:szCs w:val="26"/>
                <w:lang w:val="nl-NL"/>
              </w:rPr>
              <w:t>. Điều kiện, tiêu chí, quy mô, tỷ lệ diện tích để tách thành dự án độc lập</w:t>
            </w:r>
          </w:p>
          <w:p w14:paraId="05C67F99" w14:textId="77777777" w:rsidR="004D736E" w:rsidRPr="003D6659" w:rsidRDefault="004D736E" w:rsidP="004D736E">
            <w:pPr>
              <w:shd w:val="clear" w:color="auto" w:fill="FFFFFF"/>
              <w:ind w:left="60"/>
              <w:jc w:val="both"/>
              <w:rPr>
                <w:rFonts w:ascii="Times New Roman" w:hAnsi="Times New Roman" w:cs="Times New Roman"/>
                <w:bCs/>
                <w:sz w:val="26"/>
                <w:szCs w:val="26"/>
                <w:lang w:val="nl-NL"/>
              </w:rPr>
            </w:pPr>
            <w:r w:rsidRPr="003D6659">
              <w:rPr>
                <w:rFonts w:ascii="Times New Roman" w:hAnsi="Times New Roman" w:cs="Times New Roman"/>
                <w:bCs/>
                <w:sz w:val="26"/>
                <w:szCs w:val="26"/>
                <w:lang w:val="nl-NL"/>
              </w:rPr>
              <w:t>Phần diện tích đất do cơ quan, tổ chức của Nhà nước quản lý được xem xét tách thành dự án độc lập phải đáp ứng đầy đủ các điều kiện, tiêu chí, quy mô, tỷ lệ sau:</w:t>
            </w:r>
          </w:p>
          <w:p w14:paraId="2B19D3F2" w14:textId="77777777" w:rsidR="004D736E" w:rsidRPr="003D6659" w:rsidRDefault="004D736E" w:rsidP="004D736E">
            <w:pPr>
              <w:shd w:val="clear" w:color="auto" w:fill="FFFFFF"/>
              <w:ind w:left="60"/>
              <w:jc w:val="both"/>
              <w:rPr>
                <w:rFonts w:ascii="Times New Roman" w:hAnsi="Times New Roman" w:cs="Times New Roman"/>
                <w:bCs/>
                <w:sz w:val="26"/>
                <w:szCs w:val="26"/>
                <w:lang w:val="nl-NL"/>
              </w:rPr>
            </w:pPr>
            <w:r w:rsidRPr="003D6659">
              <w:rPr>
                <w:rFonts w:ascii="Times New Roman" w:hAnsi="Times New Roman" w:cs="Times New Roman"/>
                <w:bCs/>
                <w:sz w:val="26"/>
                <w:szCs w:val="26"/>
                <w:lang w:val="nl-NL"/>
              </w:rPr>
              <w:t>1. Điều kiện</w:t>
            </w:r>
          </w:p>
          <w:p w14:paraId="39C7FB60" w14:textId="063CE28B" w:rsidR="00AB39D2" w:rsidRPr="00AB39D2" w:rsidRDefault="004D736E" w:rsidP="00AB39D2">
            <w:pPr>
              <w:shd w:val="clear" w:color="auto" w:fill="FFFFFF"/>
              <w:ind w:left="60"/>
              <w:jc w:val="both"/>
              <w:rPr>
                <w:rFonts w:ascii="Times New Roman" w:hAnsi="Times New Roman" w:cs="Times New Roman"/>
                <w:bCs/>
                <w:sz w:val="26"/>
                <w:szCs w:val="26"/>
                <w:lang w:val="nl-NL"/>
              </w:rPr>
            </w:pPr>
            <w:r w:rsidRPr="003D6659">
              <w:rPr>
                <w:rFonts w:ascii="Times New Roman" w:hAnsi="Times New Roman" w:cs="Times New Roman"/>
                <w:bCs/>
                <w:sz w:val="26"/>
                <w:szCs w:val="26"/>
                <w:lang w:val="nl-NL"/>
              </w:rPr>
              <w:t xml:space="preserve">a) </w:t>
            </w:r>
            <w:r w:rsidR="00AB39D2" w:rsidRPr="00AB39D2">
              <w:rPr>
                <w:rFonts w:ascii="Times New Roman" w:eastAsia="Times New Roman" w:hAnsi="Times New Roman" w:cs="Times New Roman"/>
                <w:bCs/>
                <w:color w:val="000000"/>
                <w:sz w:val="28"/>
                <w:szCs w:val="28"/>
              </w:rPr>
              <w:t xml:space="preserve"> </w:t>
            </w:r>
            <w:r w:rsidR="00AB39D2" w:rsidRPr="00AB39D2">
              <w:rPr>
                <w:rFonts w:ascii="Times New Roman" w:hAnsi="Times New Roman" w:cs="Times New Roman"/>
                <w:bCs/>
                <w:sz w:val="26"/>
                <w:szCs w:val="26"/>
              </w:rPr>
              <w:t>Phù hợp với quy hoạch sử dụng đất cấp xã hoặc quy hoạch sử dụng đất cấp huyện đã được phê duyệt trước ngày 01/7/2025 hoặc phù hợp với quy hoạch chung hoặc quy hoạch phân khu; quy hoạch chi tiết được phê duyệt theo quy đị</w:t>
            </w:r>
            <w:r w:rsidR="00AB39D2">
              <w:rPr>
                <w:rFonts w:ascii="Times New Roman" w:hAnsi="Times New Roman" w:cs="Times New Roman"/>
                <w:bCs/>
                <w:sz w:val="26"/>
                <w:szCs w:val="26"/>
              </w:rPr>
              <w:t>nh.</w:t>
            </w:r>
          </w:p>
          <w:p w14:paraId="174F4079" w14:textId="72F19AAE" w:rsidR="004D736E" w:rsidRPr="003D6659" w:rsidRDefault="004D736E" w:rsidP="004D736E">
            <w:pPr>
              <w:shd w:val="clear" w:color="auto" w:fill="FFFFFF"/>
              <w:ind w:left="60"/>
              <w:jc w:val="both"/>
              <w:rPr>
                <w:rFonts w:ascii="Times New Roman" w:hAnsi="Times New Roman" w:cs="Times New Roman"/>
                <w:bCs/>
                <w:sz w:val="26"/>
                <w:szCs w:val="26"/>
                <w:lang w:val="nl-NL"/>
              </w:rPr>
            </w:pPr>
            <w:r w:rsidRPr="003D6659">
              <w:rPr>
                <w:rFonts w:ascii="Times New Roman" w:hAnsi="Times New Roman" w:cs="Times New Roman"/>
                <w:bCs/>
                <w:sz w:val="26"/>
                <w:szCs w:val="26"/>
                <w:lang w:val="nl-NL"/>
              </w:rPr>
              <w:t xml:space="preserve">b) </w:t>
            </w:r>
            <w:r w:rsidRPr="003D6659">
              <w:rPr>
                <w:rFonts w:ascii="Times New Roman" w:hAnsi="Times New Roman" w:cs="Times New Roman"/>
                <w:bCs/>
                <w:sz w:val="26"/>
                <w:szCs w:val="26"/>
              </w:rPr>
              <w:t>Gồm một thửa đất hoặc nhiều thửa đất liền kề, liền vùng</w:t>
            </w:r>
            <w:r w:rsidRPr="003D6659">
              <w:rPr>
                <w:rFonts w:ascii="Times New Roman" w:hAnsi="Times New Roman" w:cs="Times New Roman"/>
                <w:bCs/>
                <w:sz w:val="26"/>
                <w:szCs w:val="26"/>
                <w:lang w:val="nl-NL"/>
              </w:rPr>
              <w:t>.</w:t>
            </w:r>
          </w:p>
          <w:p w14:paraId="566932E1" w14:textId="77777777" w:rsidR="004D736E" w:rsidRPr="003D6659" w:rsidRDefault="004D736E" w:rsidP="004D736E">
            <w:pPr>
              <w:shd w:val="clear" w:color="auto" w:fill="FFFFFF"/>
              <w:ind w:left="60"/>
              <w:jc w:val="both"/>
              <w:rPr>
                <w:rFonts w:ascii="Times New Roman" w:hAnsi="Times New Roman" w:cs="Times New Roman"/>
                <w:bCs/>
                <w:sz w:val="26"/>
                <w:szCs w:val="26"/>
                <w:lang w:val="nl-NL"/>
              </w:rPr>
            </w:pPr>
            <w:r w:rsidRPr="003D6659">
              <w:rPr>
                <w:rFonts w:ascii="Times New Roman" w:hAnsi="Times New Roman" w:cs="Times New Roman"/>
                <w:bCs/>
                <w:sz w:val="26"/>
                <w:szCs w:val="26"/>
                <w:lang w:val="nl-NL"/>
              </w:rPr>
              <w:t xml:space="preserve">c) Không có tranh chấp, khiếu nại, vi phạm hoặc có tranh chấp, khiếu nại, vi phạm nhưng đã có văn bản giải quyết theo quy định của pháp luật </w:t>
            </w:r>
            <w:r w:rsidRPr="003D6659">
              <w:rPr>
                <w:rFonts w:ascii="Times New Roman" w:hAnsi="Times New Roman" w:cs="Times New Roman"/>
                <w:bCs/>
                <w:sz w:val="26"/>
                <w:szCs w:val="26"/>
              </w:rPr>
              <w:t>tại thời điểm xem xét tách phần đất do cơ quan, tổ chức của Nhà nước quản lý thành dự án độc lập</w:t>
            </w:r>
            <w:r w:rsidRPr="003D6659">
              <w:rPr>
                <w:rFonts w:ascii="Times New Roman" w:hAnsi="Times New Roman" w:cs="Times New Roman"/>
                <w:bCs/>
                <w:sz w:val="26"/>
                <w:szCs w:val="26"/>
                <w:lang w:val="nl-NL"/>
              </w:rPr>
              <w:t>.</w:t>
            </w:r>
          </w:p>
          <w:p w14:paraId="1CD1C22C" w14:textId="77777777" w:rsidR="004D736E" w:rsidRPr="003D6659" w:rsidRDefault="004D736E" w:rsidP="004D736E">
            <w:pPr>
              <w:shd w:val="clear" w:color="auto" w:fill="FFFFFF"/>
              <w:ind w:left="60"/>
              <w:jc w:val="both"/>
              <w:rPr>
                <w:rFonts w:ascii="Times New Roman" w:hAnsi="Times New Roman" w:cs="Times New Roman"/>
                <w:bCs/>
                <w:sz w:val="26"/>
                <w:szCs w:val="26"/>
                <w:lang w:val="nl-NL"/>
              </w:rPr>
            </w:pPr>
            <w:r w:rsidRPr="003D6659">
              <w:rPr>
                <w:rFonts w:ascii="Times New Roman" w:hAnsi="Times New Roman" w:cs="Times New Roman"/>
                <w:bCs/>
                <w:sz w:val="26"/>
                <w:szCs w:val="26"/>
                <w:lang w:val="nl-NL"/>
              </w:rPr>
              <w:t>d) Đối với dự án khu du lịch phải tuân thủ theo quy hoạch phân khu chức năng được duyệt.</w:t>
            </w:r>
          </w:p>
          <w:p w14:paraId="3612E30F" w14:textId="77777777" w:rsidR="004D736E" w:rsidRPr="003D6659" w:rsidRDefault="004D736E" w:rsidP="004D736E">
            <w:pPr>
              <w:shd w:val="clear" w:color="auto" w:fill="FFFFFF"/>
              <w:ind w:left="60"/>
              <w:jc w:val="both"/>
              <w:rPr>
                <w:rFonts w:ascii="Times New Roman" w:hAnsi="Times New Roman" w:cs="Times New Roman"/>
                <w:bCs/>
                <w:sz w:val="26"/>
                <w:szCs w:val="26"/>
                <w:lang w:val="nl-NL"/>
              </w:rPr>
            </w:pPr>
            <w:r w:rsidRPr="003D6659">
              <w:rPr>
                <w:rFonts w:ascii="Times New Roman" w:hAnsi="Times New Roman" w:cs="Times New Roman"/>
                <w:bCs/>
                <w:sz w:val="26"/>
                <w:szCs w:val="26"/>
                <w:lang w:val="nl-NL"/>
              </w:rPr>
              <w:lastRenderedPageBreak/>
              <w:t>đ) Đối với dự án sân gôn phải đáp ứng điều kiện về xây dựng, mở rộng sân gôn theo quy định của pháp luật về đầu tư xây dựng và kinh doanh sân gôn.</w:t>
            </w:r>
          </w:p>
          <w:p w14:paraId="0D9D7E75" w14:textId="77777777" w:rsidR="004D736E" w:rsidRPr="003D6659" w:rsidRDefault="004D736E" w:rsidP="004D736E">
            <w:pPr>
              <w:shd w:val="clear" w:color="auto" w:fill="FFFFFF"/>
              <w:ind w:left="60"/>
              <w:jc w:val="both"/>
              <w:rPr>
                <w:rFonts w:ascii="Times New Roman" w:hAnsi="Times New Roman" w:cs="Times New Roman"/>
                <w:bCs/>
                <w:sz w:val="26"/>
                <w:szCs w:val="26"/>
                <w:lang w:val="nl-NL"/>
              </w:rPr>
            </w:pPr>
            <w:r w:rsidRPr="003D6659">
              <w:rPr>
                <w:rFonts w:ascii="Times New Roman" w:hAnsi="Times New Roman" w:cs="Times New Roman"/>
                <w:bCs/>
                <w:sz w:val="26"/>
                <w:szCs w:val="26"/>
                <w:lang w:val="nl-NL"/>
              </w:rPr>
              <w:t>2. Tiêu chí</w:t>
            </w:r>
          </w:p>
          <w:p w14:paraId="6E091755" w14:textId="77777777" w:rsidR="004D736E" w:rsidRPr="003D6659" w:rsidRDefault="004D736E" w:rsidP="004D736E">
            <w:pPr>
              <w:shd w:val="clear" w:color="auto" w:fill="FFFFFF"/>
              <w:ind w:left="60"/>
              <w:jc w:val="both"/>
              <w:rPr>
                <w:rFonts w:ascii="Times New Roman" w:hAnsi="Times New Roman" w:cs="Times New Roman"/>
                <w:bCs/>
                <w:sz w:val="26"/>
                <w:szCs w:val="26"/>
                <w:lang w:val="nl-NL"/>
              </w:rPr>
            </w:pPr>
            <w:r w:rsidRPr="003D6659">
              <w:rPr>
                <w:rFonts w:ascii="Times New Roman" w:hAnsi="Times New Roman" w:cs="Times New Roman"/>
                <w:bCs/>
                <w:sz w:val="26"/>
                <w:szCs w:val="26"/>
                <w:lang w:val="nl-NL"/>
              </w:rPr>
              <w:t>a) Có ít nhất một mặt tiếp giáp với đường giao thông hiện trạng hoặc đường giao thông theo quy hoạch; bảo đảm khả năng kết nối giao thông, hạ tầng kỹ thuật đồng bộ với quy hoạch tổng thể khu đất và khu vực hiện hữu có liên quan.</w:t>
            </w:r>
          </w:p>
          <w:p w14:paraId="364A4194" w14:textId="77777777" w:rsidR="00D429E5" w:rsidRPr="0090095D" w:rsidRDefault="00D429E5" w:rsidP="00D429E5">
            <w:pPr>
              <w:shd w:val="clear" w:color="auto" w:fill="FFFFFF"/>
              <w:ind w:left="60"/>
              <w:jc w:val="both"/>
              <w:rPr>
                <w:rFonts w:ascii="Times New Roman" w:hAnsi="Times New Roman" w:cs="Times New Roman"/>
                <w:bCs/>
                <w:color w:val="FF0000"/>
                <w:sz w:val="26"/>
                <w:szCs w:val="26"/>
                <w:lang w:val="nl-NL"/>
              </w:rPr>
            </w:pPr>
            <w:r w:rsidRPr="0090095D">
              <w:rPr>
                <w:rFonts w:ascii="Times New Roman" w:hAnsi="Times New Roman" w:cs="Times New Roman"/>
                <w:bCs/>
                <w:color w:val="FF0000"/>
                <w:sz w:val="26"/>
                <w:szCs w:val="26"/>
                <w:lang w:val="nl-NL"/>
              </w:rPr>
              <w:t>b) Vị trí dự án được triển khai tại các phường trên địa bàn thành phố có kích thước cạnh tiếp giáp với đường giao thông quy định tại điểm a khoản này phải từ 5,0 m trở lên và chiều sâu của cạnh khu đất không</w:t>
            </w:r>
            <w:bookmarkStart w:id="0" w:name="_GoBack"/>
            <w:bookmarkEnd w:id="0"/>
            <w:r w:rsidRPr="0090095D">
              <w:rPr>
                <w:rFonts w:ascii="Times New Roman" w:hAnsi="Times New Roman" w:cs="Times New Roman"/>
                <w:bCs/>
                <w:color w:val="FF0000"/>
                <w:sz w:val="26"/>
                <w:szCs w:val="26"/>
                <w:lang w:val="nl-NL"/>
              </w:rPr>
              <w:t xml:space="preserve"> nhỏ hơn 10,0 m hoặc tối thiểu bằng với kích thước của khu đất nằm trong Quy hoạch chi tiết đã được cơ quan nhà nước có thẩm quyền phê duyệt tại vị trí khu đất được xem xét tách thành dự án độc lập.</w:t>
            </w:r>
          </w:p>
          <w:p w14:paraId="21F4E9EF" w14:textId="25EFA017" w:rsidR="00D429E5" w:rsidRPr="0090095D" w:rsidRDefault="00D429E5" w:rsidP="00D429E5">
            <w:pPr>
              <w:shd w:val="clear" w:color="auto" w:fill="FFFFFF"/>
              <w:ind w:left="60"/>
              <w:jc w:val="both"/>
              <w:rPr>
                <w:rFonts w:ascii="Times New Roman" w:hAnsi="Times New Roman" w:cs="Times New Roman"/>
                <w:bCs/>
                <w:color w:val="FF0000"/>
                <w:sz w:val="26"/>
                <w:szCs w:val="26"/>
                <w:lang w:val="nl-NL"/>
              </w:rPr>
            </w:pPr>
            <w:r w:rsidRPr="0090095D">
              <w:rPr>
                <w:rFonts w:ascii="Times New Roman" w:hAnsi="Times New Roman" w:cs="Times New Roman"/>
                <w:bCs/>
                <w:color w:val="FF0000"/>
                <w:sz w:val="26"/>
                <w:szCs w:val="26"/>
                <w:lang w:val="nl-NL"/>
              </w:rPr>
              <w:t xml:space="preserve"> Vị trí dự án được triển khai tại các địa bàn còn lại trên thành phố có kích thước cạnh tiếp giáp với </w:t>
            </w:r>
            <w:r w:rsidRPr="0090095D">
              <w:rPr>
                <w:rFonts w:ascii="Times New Roman" w:hAnsi="Times New Roman" w:cs="Times New Roman"/>
                <w:bCs/>
                <w:color w:val="FF0000"/>
                <w:sz w:val="26"/>
                <w:szCs w:val="26"/>
                <w:lang w:val="nl-NL"/>
              </w:rPr>
              <w:lastRenderedPageBreak/>
              <w:t>đường giao thông quy định tại điểm a khoản này phải từ 10,0 m trở lên và chiều sâu của cạnh khu đất không nhỏ hơn 20,0 m hoặc tối thiểu bằng với kích thước của khu đất nằm trong Quy hoạch chi tiết đã được cơ quan nhà nước có thẩm quyền phê duyệt tại vị trí khu đất được xem xét tách thành dự án độc lập.</w:t>
            </w:r>
          </w:p>
          <w:p w14:paraId="07064CDE" w14:textId="77777777" w:rsidR="004D736E" w:rsidRPr="0090095D" w:rsidRDefault="004D736E" w:rsidP="004D736E">
            <w:pPr>
              <w:shd w:val="clear" w:color="auto" w:fill="FFFFFF"/>
              <w:ind w:left="60"/>
              <w:jc w:val="both"/>
              <w:rPr>
                <w:rFonts w:ascii="Times New Roman" w:hAnsi="Times New Roman" w:cs="Times New Roman"/>
                <w:bCs/>
                <w:color w:val="FF0000"/>
                <w:sz w:val="26"/>
                <w:szCs w:val="26"/>
                <w:lang w:val="nl-NL"/>
              </w:rPr>
            </w:pPr>
            <w:r w:rsidRPr="0090095D">
              <w:rPr>
                <w:rFonts w:ascii="Times New Roman" w:hAnsi="Times New Roman" w:cs="Times New Roman"/>
                <w:bCs/>
                <w:color w:val="FF0000"/>
                <w:sz w:val="26"/>
                <w:szCs w:val="26"/>
                <w:lang w:val="nl-NL"/>
              </w:rPr>
              <w:t xml:space="preserve">3. Quy mô, tỷ lệ </w:t>
            </w:r>
          </w:p>
          <w:p w14:paraId="0731CE60" w14:textId="77777777" w:rsidR="002B03DA" w:rsidRPr="002B03DA" w:rsidRDefault="002B03DA" w:rsidP="002B03DA">
            <w:pPr>
              <w:shd w:val="clear" w:color="auto" w:fill="FFFFFF"/>
              <w:ind w:left="60"/>
              <w:jc w:val="both"/>
              <w:rPr>
                <w:rFonts w:ascii="Times New Roman" w:hAnsi="Times New Roman" w:cs="Times New Roman"/>
                <w:bCs/>
                <w:sz w:val="26"/>
                <w:szCs w:val="26"/>
                <w:lang w:val="nl-NL"/>
              </w:rPr>
            </w:pPr>
            <w:r w:rsidRPr="002B03DA">
              <w:rPr>
                <w:rFonts w:ascii="Times New Roman" w:hAnsi="Times New Roman" w:cs="Times New Roman"/>
                <w:bCs/>
                <w:sz w:val="26"/>
                <w:szCs w:val="26"/>
                <w:lang w:val="nl-NL"/>
              </w:rPr>
              <w:t>a) Đối với các dự án trên địa bàn thành phố Đà Nẵng:</w:t>
            </w:r>
          </w:p>
          <w:p w14:paraId="1CC6E336" w14:textId="77777777" w:rsidR="002B03DA" w:rsidRPr="002B03DA" w:rsidRDefault="002B03DA" w:rsidP="002B03DA">
            <w:pPr>
              <w:shd w:val="clear" w:color="auto" w:fill="FFFFFF"/>
              <w:ind w:left="60"/>
              <w:jc w:val="both"/>
              <w:rPr>
                <w:rFonts w:ascii="Times New Roman" w:hAnsi="Times New Roman" w:cs="Times New Roman"/>
                <w:bCs/>
                <w:sz w:val="26"/>
                <w:szCs w:val="26"/>
                <w:lang w:val="nl-NL"/>
              </w:rPr>
            </w:pPr>
            <w:r w:rsidRPr="002B03DA">
              <w:rPr>
                <w:rFonts w:ascii="Times New Roman" w:hAnsi="Times New Roman" w:cs="Times New Roman"/>
                <w:bCs/>
                <w:sz w:val="26"/>
                <w:szCs w:val="26"/>
                <w:lang w:val="nl-NL"/>
              </w:rPr>
              <w:t>- Đối với dự án thực hiện tại địa bàn phường Hải Châu, phường Hòa Cường, phường Thanh Khê, phường An Khê, phường An Hải, phường Sơn Trà: Phần diện tích đất do Cơ quan, tổ chức của Nhà nước quản lý đủ điều kiện tách thành dự án độc lập chiếm tỷ lệ từ 10% trở lên so với tổng diện tích khu đất thực hiện dự án và có diện tích tối thiểu là 200m</w:t>
            </w:r>
            <w:r w:rsidRPr="002B03DA">
              <w:rPr>
                <w:rFonts w:ascii="Times New Roman" w:hAnsi="Times New Roman" w:cs="Times New Roman"/>
                <w:bCs/>
                <w:sz w:val="26"/>
                <w:szCs w:val="26"/>
                <w:vertAlign w:val="superscript"/>
                <w:lang w:val="nl-NL"/>
              </w:rPr>
              <w:t>2</w:t>
            </w:r>
            <w:r w:rsidRPr="002B03DA">
              <w:rPr>
                <w:rFonts w:ascii="Times New Roman" w:hAnsi="Times New Roman" w:cs="Times New Roman"/>
                <w:bCs/>
                <w:sz w:val="26"/>
                <w:szCs w:val="26"/>
                <w:lang w:val="nl-NL"/>
              </w:rPr>
              <w:t>.</w:t>
            </w:r>
          </w:p>
          <w:p w14:paraId="15075A26" w14:textId="77777777" w:rsidR="002B03DA" w:rsidRPr="002B03DA" w:rsidRDefault="002B03DA" w:rsidP="002B03DA">
            <w:pPr>
              <w:shd w:val="clear" w:color="auto" w:fill="FFFFFF"/>
              <w:ind w:left="60"/>
              <w:jc w:val="both"/>
              <w:rPr>
                <w:rFonts w:ascii="Times New Roman" w:hAnsi="Times New Roman" w:cs="Times New Roman"/>
                <w:bCs/>
                <w:sz w:val="26"/>
                <w:szCs w:val="26"/>
                <w:lang w:val="nl-NL"/>
              </w:rPr>
            </w:pPr>
            <w:r w:rsidRPr="002B03DA">
              <w:rPr>
                <w:rFonts w:ascii="Times New Roman" w:hAnsi="Times New Roman" w:cs="Times New Roman"/>
                <w:bCs/>
                <w:sz w:val="26"/>
                <w:szCs w:val="26"/>
                <w:lang w:val="nl-NL"/>
              </w:rPr>
              <w:t xml:space="preserve">- Đối với dự án thực hiện tại địa bàn phường Ngũ Hành Sơn, phường Hòa Khánh, phường Liên Chiểu, phường Cẩm Lệ, phường Hòa Xuân, phường Tam Kỳ, phường Bàn Thạch, phường </w:t>
            </w:r>
            <w:r w:rsidRPr="002B03DA">
              <w:rPr>
                <w:rFonts w:ascii="Times New Roman" w:hAnsi="Times New Roman" w:cs="Times New Roman"/>
                <w:bCs/>
                <w:sz w:val="26"/>
                <w:szCs w:val="26"/>
                <w:lang w:val="nl-NL"/>
              </w:rPr>
              <w:lastRenderedPageBreak/>
              <w:t>Quảng Phú, phường Hương Trà, phường Hội An, phường Hội An Đông, phường Hội An Tây: Phần diện tích đất do Cơ quan, tổ chức của Nhà nước quản lý đủ điều kiện tách thành dự án độc lập chiếm tỷ lệ từ 10% trở lên so với tổng diện tích khu đất thực hiện dự án và có diện tích tối thiểu là 300m</w:t>
            </w:r>
            <w:r w:rsidRPr="002B03DA">
              <w:rPr>
                <w:rFonts w:ascii="Times New Roman" w:hAnsi="Times New Roman" w:cs="Times New Roman"/>
                <w:bCs/>
                <w:sz w:val="26"/>
                <w:szCs w:val="26"/>
                <w:vertAlign w:val="superscript"/>
                <w:lang w:val="nl-NL"/>
              </w:rPr>
              <w:t>2</w:t>
            </w:r>
            <w:r w:rsidRPr="002B03DA">
              <w:rPr>
                <w:rFonts w:ascii="Times New Roman" w:hAnsi="Times New Roman" w:cs="Times New Roman"/>
                <w:bCs/>
                <w:sz w:val="26"/>
                <w:szCs w:val="26"/>
                <w:lang w:val="nl-NL"/>
              </w:rPr>
              <w:t>.</w:t>
            </w:r>
          </w:p>
          <w:p w14:paraId="561A1AE0" w14:textId="77777777" w:rsidR="002B03DA" w:rsidRPr="002B03DA" w:rsidRDefault="002B03DA" w:rsidP="002B03DA">
            <w:pPr>
              <w:shd w:val="clear" w:color="auto" w:fill="FFFFFF"/>
              <w:ind w:left="60"/>
              <w:jc w:val="both"/>
              <w:rPr>
                <w:rFonts w:ascii="Times New Roman" w:hAnsi="Times New Roman" w:cs="Times New Roman"/>
                <w:bCs/>
                <w:sz w:val="26"/>
                <w:szCs w:val="26"/>
                <w:lang w:val="nl-NL"/>
              </w:rPr>
            </w:pPr>
            <w:r w:rsidRPr="002B03DA">
              <w:rPr>
                <w:rFonts w:ascii="Times New Roman" w:hAnsi="Times New Roman" w:cs="Times New Roman"/>
                <w:bCs/>
                <w:sz w:val="26"/>
                <w:szCs w:val="26"/>
                <w:lang w:val="nl-NL"/>
              </w:rPr>
              <w:t>- Đối với dự án thực hiện tại địa bàn phường Hải Vân, phường Điện Phương, phường Điện Bàn Đông, phường An Thắng, phường Điện Bàn Bắc: Phần diện tích đất do Cơ quan, tổ chức của Nhà nước quản lý đủ điều kiện tách thành dự án độc lập chiếm tỷ lệ từ 10% trở lên so với tổng diện tích khu đất thực hiện dự án và có diện tích tối thiểu là 500m</w:t>
            </w:r>
            <w:r w:rsidRPr="002B03DA">
              <w:rPr>
                <w:rFonts w:ascii="Times New Roman" w:hAnsi="Times New Roman" w:cs="Times New Roman"/>
                <w:bCs/>
                <w:sz w:val="26"/>
                <w:szCs w:val="26"/>
                <w:vertAlign w:val="superscript"/>
                <w:lang w:val="nl-NL"/>
              </w:rPr>
              <w:t>2</w:t>
            </w:r>
            <w:r w:rsidRPr="002B03DA">
              <w:rPr>
                <w:rFonts w:ascii="Times New Roman" w:hAnsi="Times New Roman" w:cs="Times New Roman"/>
                <w:bCs/>
                <w:sz w:val="26"/>
                <w:szCs w:val="26"/>
                <w:lang w:val="nl-NL"/>
              </w:rPr>
              <w:t>.</w:t>
            </w:r>
          </w:p>
          <w:p w14:paraId="4285F09F" w14:textId="77777777" w:rsidR="002B03DA" w:rsidRPr="002B03DA" w:rsidRDefault="002B03DA" w:rsidP="002B03DA">
            <w:pPr>
              <w:shd w:val="clear" w:color="auto" w:fill="FFFFFF"/>
              <w:ind w:left="60"/>
              <w:jc w:val="both"/>
              <w:rPr>
                <w:rFonts w:ascii="Times New Roman" w:hAnsi="Times New Roman" w:cs="Times New Roman"/>
                <w:bCs/>
                <w:sz w:val="26"/>
                <w:szCs w:val="26"/>
                <w:lang w:val="nl-NL"/>
              </w:rPr>
            </w:pPr>
            <w:r w:rsidRPr="002B03DA">
              <w:rPr>
                <w:rFonts w:ascii="Times New Roman" w:hAnsi="Times New Roman" w:cs="Times New Roman"/>
                <w:bCs/>
                <w:sz w:val="26"/>
                <w:szCs w:val="26"/>
                <w:lang w:val="nl-NL"/>
              </w:rPr>
              <w:t>- Đối với dự án thực hiện tại các địa bàn còn lại: Phần diện tích đất do cơ quan, tổ chức của Nhà nước quản lý đủ điều kiện tách thành dự án độc lập chiếm tỷ lệ từ 20% trở lên so với tổng diện tích khu đất thực hiện dự án và có diện tích tối thiểu là 1000m</w:t>
            </w:r>
            <w:r w:rsidRPr="002B03DA">
              <w:rPr>
                <w:rFonts w:ascii="Times New Roman" w:hAnsi="Times New Roman" w:cs="Times New Roman"/>
                <w:bCs/>
                <w:sz w:val="26"/>
                <w:szCs w:val="26"/>
                <w:vertAlign w:val="superscript"/>
                <w:lang w:val="nl-NL"/>
              </w:rPr>
              <w:t>2</w:t>
            </w:r>
            <w:r w:rsidRPr="002B03DA">
              <w:rPr>
                <w:rFonts w:ascii="Times New Roman" w:hAnsi="Times New Roman" w:cs="Times New Roman"/>
                <w:bCs/>
                <w:sz w:val="26"/>
                <w:szCs w:val="26"/>
                <w:lang w:val="nl-NL"/>
              </w:rPr>
              <w:t xml:space="preserve">; </w:t>
            </w:r>
            <w:r w:rsidRPr="002B03DA">
              <w:rPr>
                <w:rFonts w:ascii="Times New Roman" w:hAnsi="Times New Roman" w:cs="Times New Roman"/>
                <w:bCs/>
                <w:sz w:val="26"/>
                <w:szCs w:val="26"/>
              </w:rPr>
              <w:t xml:space="preserve">thực hiện tại địa bàn có điều kiện kinh </w:t>
            </w:r>
            <w:r w:rsidRPr="002B03DA">
              <w:rPr>
                <w:rFonts w:ascii="Times New Roman" w:hAnsi="Times New Roman" w:cs="Times New Roman"/>
                <w:bCs/>
                <w:sz w:val="26"/>
                <w:szCs w:val="26"/>
              </w:rPr>
              <w:lastRenderedPageBreak/>
              <w:t xml:space="preserve">tế - xã hội khó khăn thì diện tích tối thiểu là </w:t>
            </w:r>
            <w:r w:rsidRPr="002B03DA">
              <w:rPr>
                <w:rFonts w:ascii="Times New Roman" w:hAnsi="Times New Roman" w:cs="Times New Roman"/>
                <w:bCs/>
                <w:sz w:val="26"/>
                <w:szCs w:val="26"/>
                <w:lang w:val="nl-NL"/>
              </w:rPr>
              <w:t>3000m</w:t>
            </w:r>
            <w:r w:rsidRPr="002B03DA">
              <w:rPr>
                <w:rFonts w:ascii="Times New Roman" w:hAnsi="Times New Roman" w:cs="Times New Roman"/>
                <w:bCs/>
                <w:sz w:val="26"/>
                <w:szCs w:val="26"/>
                <w:vertAlign w:val="superscript"/>
                <w:lang w:val="nl-NL"/>
              </w:rPr>
              <w:t>2</w:t>
            </w:r>
            <w:r w:rsidRPr="002B03DA">
              <w:rPr>
                <w:rFonts w:ascii="Times New Roman" w:hAnsi="Times New Roman" w:cs="Times New Roman"/>
                <w:bCs/>
                <w:sz w:val="26"/>
                <w:szCs w:val="26"/>
                <w:lang w:val="nl-NL"/>
              </w:rPr>
              <w:t xml:space="preserve">; </w:t>
            </w:r>
            <w:r w:rsidRPr="002B03DA">
              <w:rPr>
                <w:rFonts w:ascii="Times New Roman" w:hAnsi="Times New Roman" w:cs="Times New Roman"/>
                <w:bCs/>
                <w:sz w:val="26"/>
                <w:szCs w:val="26"/>
              </w:rPr>
              <w:t xml:space="preserve">thực hiện tại địa bàn có điều kiện kinh tế - xã hội đặc biệt khó khăn thì diện tích tối thiểu là </w:t>
            </w:r>
            <w:r w:rsidRPr="002B03DA">
              <w:rPr>
                <w:rFonts w:ascii="Times New Roman" w:hAnsi="Times New Roman" w:cs="Times New Roman"/>
                <w:bCs/>
                <w:sz w:val="26"/>
                <w:szCs w:val="26"/>
                <w:lang w:val="nl-NL"/>
              </w:rPr>
              <w:t>4000m</w:t>
            </w:r>
            <w:r w:rsidRPr="002B03DA">
              <w:rPr>
                <w:rFonts w:ascii="Times New Roman" w:hAnsi="Times New Roman" w:cs="Times New Roman"/>
                <w:bCs/>
                <w:sz w:val="26"/>
                <w:szCs w:val="26"/>
                <w:vertAlign w:val="superscript"/>
                <w:lang w:val="nl-NL"/>
              </w:rPr>
              <w:t>2</w:t>
            </w:r>
            <w:r w:rsidRPr="002B03DA">
              <w:rPr>
                <w:rFonts w:ascii="Times New Roman" w:hAnsi="Times New Roman" w:cs="Times New Roman"/>
                <w:bCs/>
                <w:sz w:val="26"/>
                <w:szCs w:val="26"/>
              </w:rPr>
              <w:t>.</w:t>
            </w:r>
          </w:p>
          <w:p w14:paraId="276CD729" w14:textId="77777777" w:rsidR="002B03DA" w:rsidRPr="002B03DA" w:rsidRDefault="002B03DA" w:rsidP="002B03DA">
            <w:pPr>
              <w:shd w:val="clear" w:color="auto" w:fill="FFFFFF"/>
              <w:ind w:left="60"/>
              <w:jc w:val="both"/>
              <w:rPr>
                <w:rFonts w:ascii="Times New Roman" w:hAnsi="Times New Roman" w:cs="Times New Roman"/>
                <w:bCs/>
                <w:sz w:val="26"/>
                <w:szCs w:val="26"/>
                <w:lang w:val="nl-NL"/>
              </w:rPr>
            </w:pPr>
            <w:r w:rsidRPr="002B03DA">
              <w:rPr>
                <w:rFonts w:ascii="Times New Roman" w:hAnsi="Times New Roman" w:cs="Times New Roman"/>
                <w:bCs/>
                <w:sz w:val="26"/>
                <w:szCs w:val="26"/>
                <w:lang w:val="nl-NL"/>
              </w:rPr>
              <w:t xml:space="preserve">b) Đối với trường hợp mở rộng diện tích đất thực hiện dự án thì việc xác định tỷ lệ, diện tích đất theo quy định </w:t>
            </w:r>
            <w:r w:rsidRPr="002B03DA">
              <w:rPr>
                <w:rFonts w:ascii="Times New Roman" w:hAnsi="Times New Roman" w:cs="Times New Roman"/>
                <w:bCs/>
                <w:sz w:val="26"/>
                <w:szCs w:val="26"/>
              </w:rPr>
              <w:t>tại điểm a và điểm b khoản này</w:t>
            </w:r>
            <w:r w:rsidRPr="002B03DA">
              <w:rPr>
                <w:rFonts w:ascii="Times New Roman" w:hAnsi="Times New Roman" w:cs="Times New Roman"/>
                <w:bCs/>
                <w:sz w:val="26"/>
                <w:szCs w:val="26"/>
                <w:lang w:val="nl-NL"/>
              </w:rPr>
              <w:t xml:space="preserve"> chỉ tính trên phần diện tích đất mở rộng dự án. Phần diện tích đất quy định tại </w:t>
            </w:r>
            <w:r w:rsidRPr="002B03DA">
              <w:rPr>
                <w:rFonts w:ascii="Times New Roman" w:hAnsi="Times New Roman" w:cs="Times New Roman"/>
                <w:bCs/>
                <w:sz w:val="26"/>
                <w:szCs w:val="26"/>
              </w:rPr>
              <w:t>điểm a và điểm b khoản này</w:t>
            </w:r>
            <w:r w:rsidRPr="002B03DA">
              <w:rPr>
                <w:rFonts w:ascii="Times New Roman" w:hAnsi="Times New Roman" w:cs="Times New Roman"/>
                <w:bCs/>
                <w:sz w:val="26"/>
                <w:szCs w:val="26"/>
                <w:lang w:val="nl-NL"/>
              </w:rPr>
              <w:t xml:space="preserve"> không bao gồm phần diện tích trong hành lang bảo vệ an toàn công trình theo quy hoạch đã được phê duyệt.</w:t>
            </w:r>
          </w:p>
          <w:p w14:paraId="35EA18E6" w14:textId="0566E790" w:rsidR="005A05AC" w:rsidRPr="002B03DA" w:rsidRDefault="002B03DA" w:rsidP="002B03DA">
            <w:pPr>
              <w:shd w:val="clear" w:color="auto" w:fill="FFFFFF"/>
              <w:ind w:left="60"/>
              <w:jc w:val="both"/>
              <w:rPr>
                <w:rFonts w:ascii="Times New Roman" w:hAnsi="Times New Roman" w:cs="Times New Roman"/>
                <w:bCs/>
                <w:sz w:val="26"/>
                <w:szCs w:val="26"/>
              </w:rPr>
            </w:pPr>
            <w:r w:rsidRPr="002B03DA">
              <w:rPr>
                <w:rFonts w:ascii="Times New Roman" w:hAnsi="Times New Roman" w:cs="Times New Roman"/>
                <w:bCs/>
                <w:sz w:val="26"/>
                <w:szCs w:val="26"/>
              </w:rPr>
              <w:t>c) Đối với dự án sân gôn: Tỷ lệ p</w:t>
            </w:r>
            <w:r w:rsidRPr="002B03DA">
              <w:rPr>
                <w:rFonts w:ascii="Times New Roman" w:hAnsi="Times New Roman" w:cs="Times New Roman"/>
                <w:bCs/>
                <w:sz w:val="26"/>
                <w:szCs w:val="26"/>
                <w:lang w:val="nl-NL"/>
              </w:rPr>
              <w:t>hần diện tích đất do cơ quan, tổ chức của Nhà nước quản lý đủ điều kiện tách thành dự án độc lập chiếm từ 50% trở lên so với tổng diện tích khu đất thực hiện dự án.</w:t>
            </w:r>
          </w:p>
        </w:tc>
        <w:tc>
          <w:tcPr>
            <w:tcW w:w="3827" w:type="dxa"/>
          </w:tcPr>
          <w:p w14:paraId="0A9686D7" w14:textId="1A050BE9" w:rsidR="007F5FF5" w:rsidRPr="006C56A3" w:rsidRDefault="007F5FF5" w:rsidP="007F5FF5">
            <w:pPr>
              <w:shd w:val="clear" w:color="auto" w:fill="FFFFFF"/>
              <w:jc w:val="both"/>
              <w:rPr>
                <w:rFonts w:ascii="Times New Roman" w:hAnsi="Times New Roman" w:cs="Times New Roman"/>
                <w:bCs/>
                <w:sz w:val="26"/>
                <w:szCs w:val="26"/>
              </w:rPr>
            </w:pPr>
            <w:r w:rsidRPr="006C56A3">
              <w:rPr>
                <w:rFonts w:ascii="Times New Roman" w:hAnsi="Times New Roman" w:cs="Times New Roman"/>
                <w:bCs/>
                <w:sz w:val="26"/>
                <w:szCs w:val="26"/>
                <w:lang w:val="es-ES"/>
              </w:rPr>
              <w:lastRenderedPageBreak/>
              <w:t>Điều kiện, tiêu chí, quy mô, tỷ lệ diện tích để tách thành dự án độc lập tại 02 Quyết định Đà Nẵng và Quảng Nam cũ tương đối khác nhau, đơn vị soạn thảo đã tiến hành so sánh để đề xuất Điều kiện, tiêu chí, quy mô, tỷ lệ diện tích để tách thành dự án độc lập mới phù hợp với không gian địa giới hành chính mới, vừa đảm bảo tính kế thừa và tránh việc chên lệch quá lớn khi thực hiện chính sách</w:t>
            </w:r>
            <w:r w:rsidR="00E656B6" w:rsidRPr="006C56A3">
              <w:rPr>
                <w:rFonts w:ascii="Times New Roman" w:hAnsi="Times New Roman" w:cs="Times New Roman"/>
                <w:bCs/>
                <w:sz w:val="26"/>
                <w:szCs w:val="26"/>
                <w:lang w:val="es-ES"/>
              </w:rPr>
              <w:t>. Đối với các điều kiện về quy hoạch, đơn vị soạn thảo đã cập nhất các nội dung theo Luật quy hoạch mới và ý kiến góp ý của các đơn vị.</w:t>
            </w:r>
          </w:p>
          <w:p w14:paraId="7B9DABB3" w14:textId="7DB457BA" w:rsidR="007F5FF5" w:rsidRPr="003D6659" w:rsidRDefault="007F5FF5" w:rsidP="007F5FF5">
            <w:pPr>
              <w:shd w:val="clear" w:color="auto" w:fill="FFFFFF"/>
              <w:jc w:val="both"/>
              <w:rPr>
                <w:rFonts w:ascii="Times New Roman" w:hAnsi="Times New Roman" w:cs="Times New Roman"/>
                <w:b/>
                <w:bCs/>
                <w:sz w:val="26"/>
                <w:szCs w:val="26"/>
              </w:rPr>
            </w:pPr>
          </w:p>
          <w:p w14:paraId="70C9F29D" w14:textId="5B5C3658" w:rsidR="005A05AC" w:rsidRPr="003D6659" w:rsidRDefault="005A05AC" w:rsidP="004D736E">
            <w:pPr>
              <w:jc w:val="both"/>
              <w:rPr>
                <w:rFonts w:ascii="Times New Roman" w:hAnsi="Times New Roman" w:cs="Times New Roman"/>
                <w:bCs/>
                <w:iCs/>
                <w:sz w:val="26"/>
                <w:szCs w:val="26"/>
              </w:rPr>
            </w:pPr>
          </w:p>
        </w:tc>
      </w:tr>
      <w:tr w:rsidR="005A05AC" w:rsidRPr="003D6659" w14:paraId="114CC163" w14:textId="77777777" w:rsidTr="005A23B4">
        <w:trPr>
          <w:trHeight w:val="756"/>
        </w:trPr>
        <w:tc>
          <w:tcPr>
            <w:tcW w:w="3936" w:type="dxa"/>
          </w:tcPr>
          <w:p w14:paraId="1E146655" w14:textId="0C5724AD" w:rsidR="005A05AC" w:rsidRPr="003D6659" w:rsidRDefault="005A05AC" w:rsidP="004D736E">
            <w:pPr>
              <w:shd w:val="clear" w:color="auto" w:fill="FFFFFF"/>
              <w:jc w:val="both"/>
              <w:rPr>
                <w:rFonts w:ascii="Times New Roman" w:hAnsi="Times New Roman" w:cs="Times New Roman"/>
                <w:b/>
                <w:bCs/>
                <w:sz w:val="26"/>
                <w:szCs w:val="26"/>
                <w:lang w:val="nl-NL"/>
              </w:rPr>
            </w:pPr>
            <w:r w:rsidRPr="003D6659">
              <w:rPr>
                <w:rFonts w:ascii="Times New Roman" w:hAnsi="Times New Roman" w:cs="Times New Roman"/>
                <w:b/>
                <w:bCs/>
                <w:sz w:val="26"/>
                <w:szCs w:val="26"/>
                <w:lang w:val="nl-NL"/>
              </w:rPr>
              <w:lastRenderedPageBreak/>
              <w:t>Điều 4. </w:t>
            </w:r>
            <w:bookmarkStart w:id="1" w:name="dieu_2_name"/>
            <w:r w:rsidRPr="003D6659">
              <w:rPr>
                <w:rFonts w:ascii="Times New Roman" w:hAnsi="Times New Roman" w:cs="Times New Roman"/>
                <w:b/>
                <w:bCs/>
                <w:sz w:val="26"/>
                <w:szCs w:val="26"/>
                <w:lang w:val="nl-NL"/>
              </w:rPr>
              <w:t xml:space="preserve">Trách nhiệm của các cơ quan </w:t>
            </w:r>
          </w:p>
          <w:p w14:paraId="324EC7F0" w14:textId="0DB73625" w:rsidR="003417B9" w:rsidRPr="003D6659" w:rsidRDefault="003417B9" w:rsidP="004D736E">
            <w:pPr>
              <w:shd w:val="clear" w:color="auto" w:fill="FFFFFF"/>
              <w:jc w:val="both"/>
              <w:rPr>
                <w:rFonts w:ascii="Times New Roman" w:hAnsi="Times New Roman" w:cs="Times New Roman"/>
                <w:bCs/>
                <w:sz w:val="26"/>
                <w:szCs w:val="26"/>
              </w:rPr>
            </w:pPr>
            <w:r w:rsidRPr="003D6659">
              <w:rPr>
                <w:rFonts w:ascii="Times New Roman" w:hAnsi="Times New Roman" w:cs="Times New Roman"/>
                <w:bCs/>
                <w:sz w:val="26"/>
                <w:szCs w:val="26"/>
              </w:rPr>
              <w:t>1. Sở Tài nguyên và Môi trường</w:t>
            </w:r>
          </w:p>
          <w:p w14:paraId="48A4EBC1" w14:textId="2F421B2C" w:rsidR="003417B9" w:rsidRPr="003D6659" w:rsidRDefault="003417B9" w:rsidP="004D736E">
            <w:pPr>
              <w:shd w:val="clear" w:color="auto" w:fill="FFFFFF"/>
              <w:jc w:val="both"/>
              <w:rPr>
                <w:rFonts w:ascii="Times New Roman" w:hAnsi="Times New Roman" w:cs="Times New Roman"/>
                <w:bCs/>
                <w:sz w:val="26"/>
                <w:szCs w:val="26"/>
              </w:rPr>
            </w:pPr>
            <w:r w:rsidRPr="003D6659">
              <w:rPr>
                <w:rFonts w:ascii="Times New Roman" w:hAnsi="Times New Roman" w:cs="Times New Roman"/>
                <w:bCs/>
                <w:sz w:val="26"/>
                <w:szCs w:val="26"/>
              </w:rPr>
              <w:t>a) Chủ trì, phối hợp với các cơ quan liên quan hướng dẫn, tổ chức thực hiện Quyết định này;</w:t>
            </w:r>
          </w:p>
          <w:p w14:paraId="62A5BBD2" w14:textId="77777777" w:rsidR="006E422D" w:rsidRPr="003D6659" w:rsidRDefault="003417B9" w:rsidP="004D736E">
            <w:pPr>
              <w:shd w:val="clear" w:color="auto" w:fill="FFFFFF"/>
              <w:jc w:val="both"/>
              <w:rPr>
                <w:rFonts w:ascii="Times New Roman" w:hAnsi="Times New Roman" w:cs="Times New Roman"/>
                <w:bCs/>
                <w:sz w:val="26"/>
                <w:szCs w:val="26"/>
              </w:rPr>
            </w:pPr>
            <w:r w:rsidRPr="003D6659">
              <w:rPr>
                <w:rFonts w:ascii="Times New Roman" w:hAnsi="Times New Roman" w:cs="Times New Roman"/>
                <w:bCs/>
                <w:sz w:val="26"/>
                <w:szCs w:val="26"/>
              </w:rPr>
              <w:lastRenderedPageBreak/>
              <w:t xml:space="preserve">b) Chủ trì, phôi hợp với các đơn vị liên quan rà soát điêu kiện, tiêu chi, quy mô, tỷ lệ diện tích để báo cáo UBND thành phố về chủ trương tách phân diện tích đất tại khoản 1 Điều 1 Quy định này thành dự án độc lập trong quá trình tham mưu chấp thuận việc thoả thuận về nhận quyền sử dụng đất để thực hiện dự án của nhà đầu tư, tổ chức, cá nhân; </w:t>
            </w:r>
          </w:p>
          <w:p w14:paraId="720788C3" w14:textId="77777777" w:rsidR="006E422D" w:rsidRPr="003D6659" w:rsidRDefault="003417B9" w:rsidP="004D736E">
            <w:pPr>
              <w:shd w:val="clear" w:color="auto" w:fill="FFFFFF"/>
              <w:jc w:val="both"/>
              <w:rPr>
                <w:rFonts w:ascii="Times New Roman" w:hAnsi="Times New Roman" w:cs="Times New Roman"/>
                <w:bCs/>
                <w:sz w:val="26"/>
                <w:szCs w:val="26"/>
              </w:rPr>
            </w:pPr>
            <w:r w:rsidRPr="003D6659">
              <w:rPr>
                <w:rFonts w:ascii="Times New Roman" w:hAnsi="Times New Roman" w:cs="Times New Roman"/>
                <w:bCs/>
                <w:sz w:val="26"/>
                <w:szCs w:val="26"/>
              </w:rPr>
              <w:t xml:space="preserve">c) Sau khi có văn bản đồng ý chủ trương của UBND thành phố, chủ trì chỉ đạo Trung tâm Phát triên quỹ dất chủ trì, phôi hợp với các cơ quan, đơn vị, địa phương liên quan tham mưu tổ chức thực hiện đấu giá quyền sử dụng đất đối với khu đất đã có chủ trương của UBND thành phố tách thành dự án độc lập theo quy định của pháp luật; </w:t>
            </w:r>
          </w:p>
          <w:p w14:paraId="6253E15F" w14:textId="77777777" w:rsidR="006E422D" w:rsidRPr="003D6659" w:rsidRDefault="003417B9" w:rsidP="004D736E">
            <w:pPr>
              <w:shd w:val="clear" w:color="auto" w:fill="FFFFFF"/>
              <w:jc w:val="both"/>
              <w:rPr>
                <w:rFonts w:ascii="Times New Roman" w:hAnsi="Times New Roman" w:cs="Times New Roman"/>
                <w:bCs/>
                <w:sz w:val="26"/>
                <w:szCs w:val="26"/>
              </w:rPr>
            </w:pPr>
            <w:r w:rsidRPr="003D6659">
              <w:rPr>
                <w:rFonts w:ascii="Times New Roman" w:hAnsi="Times New Roman" w:cs="Times New Roman"/>
                <w:bCs/>
                <w:sz w:val="26"/>
                <w:szCs w:val="26"/>
              </w:rPr>
              <w:t xml:space="preserve">d) Tổ chức thanh tra, kiểm tra việc quản lý, sử dụng đất của địa phương để kịp thời phát hiện, chấn chỉnh các sai phạm; </w:t>
            </w:r>
          </w:p>
          <w:p w14:paraId="01486C45" w14:textId="77777777" w:rsidR="006E422D" w:rsidRPr="003D6659" w:rsidRDefault="003417B9" w:rsidP="004D736E">
            <w:pPr>
              <w:shd w:val="clear" w:color="auto" w:fill="FFFFFF"/>
              <w:jc w:val="both"/>
              <w:rPr>
                <w:rFonts w:ascii="Times New Roman" w:hAnsi="Times New Roman" w:cs="Times New Roman"/>
                <w:bCs/>
                <w:sz w:val="26"/>
                <w:szCs w:val="26"/>
              </w:rPr>
            </w:pPr>
            <w:r w:rsidRPr="003D6659">
              <w:rPr>
                <w:rFonts w:ascii="Times New Roman" w:hAnsi="Times New Roman" w:cs="Times New Roman"/>
                <w:bCs/>
                <w:sz w:val="26"/>
                <w:szCs w:val="26"/>
              </w:rPr>
              <w:t xml:space="preserve">đ) Phối hợp với Sở Kế hoạch và Đầu tư trong quá trình thẩm định dự án, tổng hợp báo cáo UBND thành phố chỉ đạo cụ thể đối với trường hợp các diện tích đất có đủ </w:t>
            </w:r>
            <w:r w:rsidRPr="003D6659">
              <w:rPr>
                <w:rFonts w:ascii="Times New Roman" w:hAnsi="Times New Roman" w:cs="Times New Roman"/>
                <w:bCs/>
                <w:sz w:val="26"/>
                <w:szCs w:val="26"/>
              </w:rPr>
              <w:lastRenderedPageBreak/>
              <w:t xml:space="preserve">điều kiện, tiêu chí, quy mô, tỷ lệ diện tích để tách thành dự án độc lập nhưng có vấn đề phát sinh trong khi kiểm tra thực tế. </w:t>
            </w:r>
          </w:p>
          <w:p w14:paraId="7114CA3F" w14:textId="77777777" w:rsidR="006E422D" w:rsidRPr="003D6659" w:rsidRDefault="003417B9" w:rsidP="004D736E">
            <w:pPr>
              <w:shd w:val="clear" w:color="auto" w:fill="FFFFFF"/>
              <w:jc w:val="both"/>
              <w:rPr>
                <w:rFonts w:ascii="Times New Roman" w:hAnsi="Times New Roman" w:cs="Times New Roman"/>
                <w:bCs/>
                <w:sz w:val="26"/>
                <w:szCs w:val="26"/>
              </w:rPr>
            </w:pPr>
            <w:r w:rsidRPr="003D6659">
              <w:rPr>
                <w:rFonts w:ascii="Times New Roman" w:hAnsi="Times New Roman" w:cs="Times New Roman"/>
                <w:bCs/>
                <w:sz w:val="26"/>
                <w:szCs w:val="26"/>
              </w:rPr>
              <w:t xml:space="preserve">2. Sở Kế hoạch và Đầu tư </w:t>
            </w:r>
          </w:p>
          <w:p w14:paraId="23A95D07" w14:textId="77777777" w:rsidR="006E422D" w:rsidRPr="003D6659" w:rsidRDefault="003417B9" w:rsidP="004D736E">
            <w:pPr>
              <w:shd w:val="clear" w:color="auto" w:fill="FFFFFF"/>
              <w:jc w:val="both"/>
              <w:rPr>
                <w:rFonts w:ascii="Times New Roman" w:hAnsi="Times New Roman" w:cs="Times New Roman"/>
                <w:bCs/>
                <w:sz w:val="26"/>
                <w:szCs w:val="26"/>
              </w:rPr>
            </w:pPr>
            <w:r w:rsidRPr="003D6659">
              <w:rPr>
                <w:rFonts w:ascii="Times New Roman" w:hAnsi="Times New Roman" w:cs="Times New Roman"/>
                <w:bCs/>
                <w:sz w:val="26"/>
                <w:szCs w:val="26"/>
              </w:rPr>
              <w:t xml:space="preserve">a) Phối hợp với Sở Tài nguyên và Môi trường: hướng dẫn, tổ chức thực hiện Quyết định này; rà soát điều kiện, tiêu chí, quy mô, tỷ lệ diện tích đât tại khoản 1 Điều 1 Quy định này thành dự án độc lập, có ý kiên trong quá trình châp thuận việc thoả thuận về nhận quyền sử dụng đất để thực hiện dự án của nhà đầu tư, tô chức, cá nhân. </w:t>
            </w:r>
          </w:p>
          <w:p w14:paraId="0626C57C" w14:textId="2B7ADE28" w:rsidR="003417B9" w:rsidRPr="003D6659" w:rsidRDefault="003417B9" w:rsidP="004D736E">
            <w:pPr>
              <w:shd w:val="clear" w:color="auto" w:fill="FFFFFF"/>
              <w:jc w:val="both"/>
              <w:rPr>
                <w:rFonts w:ascii="Times New Roman" w:hAnsi="Times New Roman" w:cs="Times New Roman"/>
                <w:bCs/>
                <w:sz w:val="26"/>
                <w:szCs w:val="26"/>
              </w:rPr>
            </w:pPr>
            <w:r w:rsidRPr="003D6659">
              <w:rPr>
                <w:rFonts w:ascii="Times New Roman" w:hAnsi="Times New Roman" w:cs="Times New Roman"/>
                <w:bCs/>
                <w:sz w:val="26"/>
                <w:szCs w:val="26"/>
              </w:rPr>
              <w:t xml:space="preserve">b) Tham gia đóng góp ý kiên liên quan sự cân thiết đầu tư, sự phù hợp của để xuất dự ản vê nội dung, quy mô, phạm vi với quy hoạch phát triên kinh tê - xã hội của địa phương; sự chồng lấn ranh giới khu đất đề xuất dự án với các dự án khác (nếu có) và các nội dung có liên quan khi có văn bản đề nghị của Sở Tài nguyên và Môi trường; c) Sau khi có văn bản đồng ý chủ trương của UBND thành phố, chủ trì, phối hợp với các cơ quan, đơn vị, địa phương liên quan tham mưu </w:t>
            </w:r>
            <w:r w:rsidRPr="003D6659">
              <w:rPr>
                <w:rFonts w:ascii="Times New Roman" w:hAnsi="Times New Roman" w:cs="Times New Roman"/>
                <w:bCs/>
                <w:sz w:val="26"/>
                <w:szCs w:val="26"/>
              </w:rPr>
              <w:lastRenderedPageBreak/>
              <w:t>tổ chức thực hiện đấu thầu lựa chọn nhà đầu tư thực hiện dự án có sử dụng đất theo quy định của pháp luật:</w:t>
            </w:r>
          </w:p>
          <w:p w14:paraId="463C2E19" w14:textId="77777777" w:rsidR="006E422D" w:rsidRPr="003D6659" w:rsidRDefault="003417B9" w:rsidP="004D736E">
            <w:pPr>
              <w:shd w:val="clear" w:color="auto" w:fill="FFFFFF"/>
              <w:jc w:val="both"/>
              <w:rPr>
                <w:rFonts w:ascii="Times New Roman" w:hAnsi="Times New Roman" w:cs="Times New Roman"/>
                <w:bCs/>
                <w:sz w:val="26"/>
                <w:szCs w:val="26"/>
              </w:rPr>
            </w:pPr>
            <w:r w:rsidRPr="003D6659">
              <w:rPr>
                <w:rFonts w:ascii="Times New Roman" w:hAnsi="Times New Roman" w:cs="Times New Roman"/>
                <w:bCs/>
                <w:sz w:val="26"/>
                <w:szCs w:val="26"/>
              </w:rPr>
              <w:t xml:space="preserve">d) Phối hợp với Sở Tài nguyên và Môi trường và các sở, ngành, địa phương liên quan rà soát, tham mưu tách diện tích đất thành dự án độc lập (nếu có) đối với các dự án đã được chấp thuận chủ trương đầu tư nhưng chưa có quyết định giao đất, cho thuê đất. </w:t>
            </w:r>
          </w:p>
          <w:p w14:paraId="77DBF30F" w14:textId="4BC4CC83" w:rsidR="006E422D" w:rsidRPr="003D6659" w:rsidRDefault="003417B9" w:rsidP="004D736E">
            <w:pPr>
              <w:shd w:val="clear" w:color="auto" w:fill="FFFFFF"/>
              <w:jc w:val="both"/>
              <w:rPr>
                <w:rFonts w:ascii="Times New Roman" w:hAnsi="Times New Roman" w:cs="Times New Roman"/>
                <w:bCs/>
                <w:sz w:val="26"/>
                <w:szCs w:val="26"/>
              </w:rPr>
            </w:pPr>
            <w:r w:rsidRPr="003D6659">
              <w:rPr>
                <w:rFonts w:ascii="Times New Roman" w:hAnsi="Times New Roman" w:cs="Times New Roman"/>
                <w:bCs/>
                <w:sz w:val="26"/>
                <w:szCs w:val="26"/>
              </w:rPr>
              <w:t>3. Sở Xây dựng Phối hợp với Sở Tài nguyên và Môi trường, Sở Kế hoạch và Đầu tư, UBND quận, huyện nơi đê xuất dự án, tham gia đóng góp ý kiến về diện tích đảm bảo thực hiện dự</w:t>
            </w:r>
            <w:r w:rsidR="006E422D" w:rsidRPr="003D6659">
              <w:rPr>
                <w:rFonts w:ascii="Times New Roman" w:hAnsi="Times New Roman" w:cs="Times New Roman"/>
                <w:bCs/>
                <w:sz w:val="26"/>
                <w:szCs w:val="26"/>
              </w:rPr>
              <w:t xml:space="preserve"> á</w:t>
            </w:r>
            <w:r w:rsidRPr="003D6659">
              <w:rPr>
                <w:rFonts w:ascii="Times New Roman" w:hAnsi="Times New Roman" w:cs="Times New Roman"/>
                <w:bCs/>
                <w:sz w:val="26"/>
                <w:szCs w:val="26"/>
              </w:rPr>
              <w:t>n tùy theo tính chất, mục đích, địa điểm, sự cân thiêt của từng dự</w:t>
            </w:r>
            <w:r w:rsidR="006E422D" w:rsidRPr="003D6659">
              <w:rPr>
                <w:rFonts w:ascii="Times New Roman" w:hAnsi="Times New Roman" w:cs="Times New Roman"/>
                <w:bCs/>
                <w:sz w:val="26"/>
                <w:szCs w:val="26"/>
              </w:rPr>
              <w:t xml:space="preserve"> á</w:t>
            </w:r>
            <w:r w:rsidRPr="003D6659">
              <w:rPr>
                <w:rFonts w:ascii="Times New Roman" w:hAnsi="Times New Roman" w:cs="Times New Roman"/>
                <w:bCs/>
                <w:sz w:val="26"/>
                <w:szCs w:val="26"/>
              </w:rPr>
              <w:t xml:space="preserve">n cụ </w:t>
            </w:r>
            <w:r w:rsidRPr="003D6659">
              <w:rPr>
                <w:rFonts w:ascii="Segoe UI" w:hAnsi="Segoe UI" w:cs="Segoe UI"/>
                <w:color w:val="081B3A"/>
                <w:spacing w:val="3"/>
                <w:sz w:val="26"/>
                <w:szCs w:val="26"/>
                <w:shd w:val="clear" w:color="auto" w:fill="E5F1FF"/>
              </w:rPr>
              <w:t xml:space="preserve"> </w:t>
            </w:r>
            <w:r w:rsidRPr="003D6659">
              <w:rPr>
                <w:rFonts w:ascii="Times New Roman" w:hAnsi="Times New Roman" w:cs="Times New Roman"/>
                <w:bCs/>
                <w:sz w:val="26"/>
                <w:szCs w:val="26"/>
              </w:rPr>
              <w:t>thể theo chức năng, nhiệm vụ của ngành khi có văn bản đề nghị của Sở Tài nguyên và Môi trường, Sở Kế hoạch và Đầu tư.</w:t>
            </w:r>
          </w:p>
          <w:p w14:paraId="2EEA0D39" w14:textId="7DA46ABD" w:rsidR="003417B9" w:rsidRPr="003D6659" w:rsidRDefault="003417B9" w:rsidP="004D736E">
            <w:pPr>
              <w:shd w:val="clear" w:color="auto" w:fill="FFFFFF"/>
              <w:jc w:val="both"/>
              <w:rPr>
                <w:rFonts w:ascii="Times New Roman" w:hAnsi="Times New Roman" w:cs="Times New Roman"/>
                <w:bCs/>
                <w:sz w:val="26"/>
                <w:szCs w:val="26"/>
                <w:lang w:val="nl-NL"/>
              </w:rPr>
            </w:pPr>
            <w:r w:rsidRPr="003D6659">
              <w:rPr>
                <w:rFonts w:ascii="Times New Roman" w:hAnsi="Times New Roman" w:cs="Times New Roman"/>
                <w:bCs/>
                <w:sz w:val="26"/>
                <w:szCs w:val="26"/>
              </w:rPr>
              <w:t xml:space="preserve">4. Các sở, ngành có liên quan Phối hợp với Sở Tài nguyên và Môi trường, Sở Kế hoạch và Đầu tư tham gia đóng góp ý kiến các nội dung liên quan theo chức năng, nhiệm vụ của ngành khi có văn bản </w:t>
            </w:r>
            <w:r w:rsidRPr="003D6659">
              <w:rPr>
                <w:rFonts w:ascii="Times New Roman" w:hAnsi="Times New Roman" w:cs="Times New Roman"/>
                <w:bCs/>
                <w:sz w:val="26"/>
                <w:szCs w:val="26"/>
              </w:rPr>
              <w:lastRenderedPageBreak/>
              <w:t>đề nghị của Sở Tài nguyên và Môi trường, Sở Kế hoạch và Đầu tư. 5. UBND các quận, huyện a) Chủ trì, chỉ đạo UBND các phường, xã rà soát nguồn gốc đất đai, tài sản trên đất; báo cáo nguồn gốc đất đai, tài sản trên đất trong quá trình tiếp nhận hồ sơ đề xuất dự án đầu tư và chịu trách nhiệm trước pháp luật về tính chính xác của nguồn gốc đất đai, tài sản trên đất; b) Triên khai tuyên truyền, vận động mọi tổ chức, cá nhân về chính sách đâu giá quyên sử dụng đât, mua tài sả</w:t>
            </w:r>
            <w:r w:rsidR="006E422D" w:rsidRPr="003D6659">
              <w:rPr>
                <w:rFonts w:ascii="Times New Roman" w:hAnsi="Times New Roman" w:cs="Times New Roman"/>
                <w:bCs/>
                <w:sz w:val="26"/>
                <w:szCs w:val="26"/>
              </w:rPr>
              <w:t>n gắ</w:t>
            </w:r>
            <w:r w:rsidRPr="003D6659">
              <w:rPr>
                <w:rFonts w:ascii="Times New Roman" w:hAnsi="Times New Roman" w:cs="Times New Roman"/>
                <w:bCs/>
                <w:sz w:val="26"/>
                <w:szCs w:val="26"/>
              </w:rPr>
              <w:t xml:space="preserve">n liền với đất, nhận chuyển nhượng, thuê quyền sử dụng đất, nhận góp vốn bằng quyền sử dụng đất theo Quyết định này; các quy định của Chính phủ và các bộ, ngành trung ương bảo đảm chính sách pháp luật; c) Phản ánh kịp thời những khó khăn, vướng mắc trong quá trình tổ chức thực hiện Quyết định này. 6. UBND các phường, xã a) Quản lý chặt chẽ quỹ đất được giao quản lý trên địa bàn; b) Rà soát và chịu trách nhiệm đối với các loại đất được giao quản lý theo quy định; c) Phản ánh kịp thời những khó khăn, vướng mắc trong </w:t>
            </w:r>
            <w:r w:rsidRPr="003D6659">
              <w:rPr>
                <w:rFonts w:ascii="Times New Roman" w:hAnsi="Times New Roman" w:cs="Times New Roman"/>
                <w:bCs/>
                <w:sz w:val="26"/>
                <w:szCs w:val="26"/>
              </w:rPr>
              <w:lastRenderedPageBreak/>
              <w:t>quá trình tổ chức thực hiện Quyết định này.</w:t>
            </w:r>
          </w:p>
          <w:bookmarkEnd w:id="1"/>
          <w:p w14:paraId="3E254A6A" w14:textId="4C039943" w:rsidR="005A05AC" w:rsidRPr="003D6659" w:rsidRDefault="005A05AC" w:rsidP="004D736E">
            <w:pPr>
              <w:shd w:val="clear" w:color="auto" w:fill="FFFFFF"/>
              <w:jc w:val="both"/>
              <w:rPr>
                <w:rFonts w:ascii="Times New Roman" w:hAnsi="Times New Roman" w:cs="Times New Roman"/>
                <w:bCs/>
                <w:sz w:val="26"/>
                <w:szCs w:val="26"/>
                <w:lang w:val="nl-NL"/>
              </w:rPr>
            </w:pPr>
          </w:p>
        </w:tc>
        <w:tc>
          <w:tcPr>
            <w:tcW w:w="3827" w:type="dxa"/>
          </w:tcPr>
          <w:p w14:paraId="0D2F08DC" w14:textId="7C3C0A8F" w:rsidR="00356AB7" w:rsidRPr="003D6659" w:rsidRDefault="00356AB7" w:rsidP="004D736E">
            <w:pPr>
              <w:shd w:val="clear" w:color="auto" w:fill="FFFFFF"/>
              <w:ind w:left="60"/>
              <w:jc w:val="both"/>
              <w:rPr>
                <w:rFonts w:ascii="Times New Roman" w:hAnsi="Times New Roman" w:cs="Times New Roman"/>
                <w:b/>
                <w:bCs/>
                <w:sz w:val="26"/>
                <w:szCs w:val="26"/>
              </w:rPr>
            </w:pPr>
            <w:r w:rsidRPr="003D6659">
              <w:rPr>
                <w:rFonts w:ascii="Times New Roman" w:hAnsi="Times New Roman" w:cs="Times New Roman"/>
                <w:b/>
                <w:bCs/>
                <w:sz w:val="26"/>
                <w:szCs w:val="26"/>
              </w:rPr>
              <w:lastRenderedPageBreak/>
              <w:t>Điề</w:t>
            </w:r>
            <w:r w:rsidR="00D96C6A" w:rsidRPr="003D6659">
              <w:rPr>
                <w:rFonts w:ascii="Times New Roman" w:hAnsi="Times New Roman" w:cs="Times New Roman"/>
                <w:b/>
                <w:bCs/>
                <w:sz w:val="26"/>
                <w:szCs w:val="26"/>
              </w:rPr>
              <w:t>u 5</w:t>
            </w:r>
            <w:r w:rsidRPr="003D6659">
              <w:rPr>
                <w:rFonts w:ascii="Times New Roman" w:hAnsi="Times New Roman" w:cs="Times New Roman"/>
                <w:b/>
                <w:bCs/>
                <w:sz w:val="26"/>
                <w:szCs w:val="26"/>
              </w:rPr>
              <w:t xml:space="preserve">. Trách nhiệm của các cơ quan, </w:t>
            </w:r>
            <w:r w:rsidR="00D96C6A" w:rsidRPr="003D6659">
              <w:rPr>
                <w:rFonts w:ascii="Times New Roman" w:hAnsi="Times New Roman" w:cs="Times New Roman"/>
                <w:b/>
                <w:bCs/>
                <w:sz w:val="26"/>
                <w:szCs w:val="26"/>
              </w:rPr>
              <w:t>địa phương có liên quan</w:t>
            </w:r>
          </w:p>
          <w:p w14:paraId="581C73CF" w14:textId="77777777" w:rsidR="003417B9" w:rsidRPr="003D6659" w:rsidRDefault="003417B9" w:rsidP="003417B9">
            <w:pPr>
              <w:shd w:val="clear" w:color="auto" w:fill="FFFFFF"/>
              <w:ind w:left="60"/>
              <w:jc w:val="both"/>
              <w:rPr>
                <w:rFonts w:ascii="Times New Roman" w:hAnsi="Times New Roman" w:cs="Times New Roman"/>
                <w:bCs/>
                <w:sz w:val="26"/>
                <w:szCs w:val="26"/>
              </w:rPr>
            </w:pPr>
            <w:r w:rsidRPr="003D6659">
              <w:rPr>
                <w:rFonts w:ascii="Times New Roman" w:hAnsi="Times New Roman" w:cs="Times New Roman"/>
                <w:bCs/>
                <w:sz w:val="26"/>
                <w:szCs w:val="26"/>
              </w:rPr>
              <w:t>1. Sở Kế hoạch và Đầu tư, Ban Quản lý các Khu Kinh tế và Khu Công nghiệp tỉnh</w:t>
            </w:r>
          </w:p>
          <w:p w14:paraId="5693BF37" w14:textId="77777777" w:rsidR="003417B9" w:rsidRPr="003D6659" w:rsidRDefault="003417B9" w:rsidP="003417B9">
            <w:pPr>
              <w:shd w:val="clear" w:color="auto" w:fill="FFFFFF"/>
              <w:ind w:left="60"/>
              <w:jc w:val="both"/>
              <w:rPr>
                <w:rFonts w:ascii="Times New Roman" w:hAnsi="Times New Roman" w:cs="Times New Roman"/>
                <w:bCs/>
                <w:sz w:val="26"/>
                <w:szCs w:val="26"/>
              </w:rPr>
            </w:pPr>
            <w:r w:rsidRPr="003D6659">
              <w:rPr>
                <w:rFonts w:ascii="Times New Roman" w:hAnsi="Times New Roman" w:cs="Times New Roman"/>
                <w:bCs/>
                <w:sz w:val="26"/>
                <w:szCs w:val="26"/>
              </w:rPr>
              <w:t xml:space="preserve">a) Chủ trì, phối hợp với Sở Tài </w:t>
            </w:r>
            <w:r w:rsidRPr="003D6659">
              <w:rPr>
                <w:rFonts w:ascii="Times New Roman" w:hAnsi="Times New Roman" w:cs="Times New Roman"/>
                <w:bCs/>
                <w:sz w:val="26"/>
                <w:szCs w:val="26"/>
              </w:rPr>
              <w:lastRenderedPageBreak/>
              <w:t>nguyên và Môi trường và các sở, ngành, địa phương liên quan tổ chức thực hiện Quy định này.</w:t>
            </w:r>
          </w:p>
          <w:p w14:paraId="7D1B73D9" w14:textId="77777777" w:rsidR="003417B9" w:rsidRPr="003D6659" w:rsidRDefault="003417B9" w:rsidP="003417B9">
            <w:pPr>
              <w:shd w:val="clear" w:color="auto" w:fill="FFFFFF"/>
              <w:ind w:left="60"/>
              <w:jc w:val="both"/>
              <w:rPr>
                <w:rFonts w:ascii="Times New Roman" w:hAnsi="Times New Roman" w:cs="Times New Roman"/>
                <w:bCs/>
                <w:sz w:val="26"/>
                <w:szCs w:val="26"/>
              </w:rPr>
            </w:pPr>
            <w:r w:rsidRPr="003D6659">
              <w:rPr>
                <w:rFonts w:ascii="Times New Roman" w:hAnsi="Times New Roman" w:cs="Times New Roman"/>
                <w:bCs/>
                <w:sz w:val="26"/>
                <w:szCs w:val="26"/>
              </w:rPr>
              <w:t>b) Chủ trì, tổng hợp báo cáo UBND tỉnh các nội dung liên quan khi tham mưu thủ tục chấp thuận chủ trương đầu tư đối với các dự án đầu tư trên địa bàn tỉnh thuộc các trường hợp quy định tại khoản 1, Điều 1 của Quy định này.</w:t>
            </w:r>
          </w:p>
          <w:p w14:paraId="213847FE" w14:textId="77777777" w:rsidR="003417B9" w:rsidRPr="003D6659" w:rsidRDefault="003417B9" w:rsidP="003417B9">
            <w:pPr>
              <w:shd w:val="clear" w:color="auto" w:fill="FFFFFF"/>
              <w:ind w:left="60"/>
              <w:jc w:val="both"/>
              <w:rPr>
                <w:rFonts w:ascii="Times New Roman" w:hAnsi="Times New Roman" w:cs="Times New Roman"/>
                <w:bCs/>
                <w:sz w:val="26"/>
                <w:szCs w:val="26"/>
              </w:rPr>
            </w:pPr>
            <w:r w:rsidRPr="003D6659">
              <w:rPr>
                <w:rFonts w:ascii="Times New Roman" w:hAnsi="Times New Roman" w:cs="Times New Roman"/>
                <w:bCs/>
                <w:sz w:val="26"/>
                <w:szCs w:val="26"/>
              </w:rPr>
              <w:t>c) Giải quyết các vướng mắc trong quá trình thực hiện theo chức năng nhiệm vụ được giao hoặc báo cáo Ủy ban nhân dân tỉnh chỉ đạo giải quyết các trường hợp phát sinh theo Quy định này.</w:t>
            </w:r>
          </w:p>
          <w:p w14:paraId="072E8E01" w14:textId="77777777" w:rsidR="003417B9" w:rsidRPr="003D6659" w:rsidRDefault="003417B9" w:rsidP="003417B9">
            <w:pPr>
              <w:shd w:val="clear" w:color="auto" w:fill="FFFFFF"/>
              <w:ind w:left="60"/>
              <w:jc w:val="both"/>
              <w:rPr>
                <w:rFonts w:ascii="Times New Roman" w:hAnsi="Times New Roman" w:cs="Times New Roman"/>
                <w:bCs/>
                <w:sz w:val="26"/>
                <w:szCs w:val="26"/>
              </w:rPr>
            </w:pPr>
            <w:r w:rsidRPr="003D6659">
              <w:rPr>
                <w:rFonts w:ascii="Times New Roman" w:hAnsi="Times New Roman" w:cs="Times New Roman"/>
                <w:bCs/>
                <w:sz w:val="26"/>
                <w:szCs w:val="26"/>
              </w:rPr>
              <w:t>d) Tham mưu Ủy ban nhân dân tỉnh rà soát xử lý các dự án đã được cấp Giấy chứng nhận đầu tư, Giấy chứng nhận đăng ký đầu tư, Quyết định chủ trương đầu tư, quyết định chấp thuận chủ trương đầu tư nhưng chưa được giao đất, cho thuê đất theo Quy định này.</w:t>
            </w:r>
          </w:p>
          <w:p w14:paraId="200A6EB8" w14:textId="77777777" w:rsidR="003417B9" w:rsidRPr="003D6659" w:rsidRDefault="003417B9" w:rsidP="003417B9">
            <w:pPr>
              <w:shd w:val="clear" w:color="auto" w:fill="FFFFFF"/>
              <w:ind w:left="60"/>
              <w:jc w:val="both"/>
              <w:rPr>
                <w:rFonts w:ascii="Times New Roman" w:hAnsi="Times New Roman" w:cs="Times New Roman"/>
                <w:bCs/>
                <w:sz w:val="26"/>
                <w:szCs w:val="26"/>
              </w:rPr>
            </w:pPr>
            <w:r w:rsidRPr="003D6659">
              <w:rPr>
                <w:rFonts w:ascii="Times New Roman" w:hAnsi="Times New Roman" w:cs="Times New Roman"/>
                <w:bCs/>
                <w:sz w:val="26"/>
                <w:szCs w:val="26"/>
              </w:rPr>
              <w:t xml:space="preserve">2. Sở Tài nguyên và Môi trường: Phối hợp với Ủy ban nhân dân các huyện, thị xã, thành phố rà soát, đánh giá hiện trạng sử dụng đất; sự phù hợp quy hoạch sử </w:t>
            </w:r>
            <w:r w:rsidRPr="003D6659">
              <w:rPr>
                <w:rFonts w:ascii="Times New Roman" w:hAnsi="Times New Roman" w:cs="Times New Roman"/>
                <w:bCs/>
                <w:sz w:val="26"/>
                <w:szCs w:val="26"/>
              </w:rPr>
              <w:lastRenderedPageBreak/>
              <w:t>dụng đất, kế hoạch sử dụng đất các cấp và có văn bản gửi cơ quan tiếp nhận thủ tục chấp thuận chủ trương đầu tư, cấp giấy chứng nhận đăng ký đầu tư để làm cơ sở rà soát điều kiện, tiêu chí, quy mô và tỷ lệ diện tích đất tách thành dự án độc lập.</w:t>
            </w:r>
          </w:p>
          <w:p w14:paraId="4B463EB8" w14:textId="77777777" w:rsidR="003417B9" w:rsidRPr="003D6659" w:rsidRDefault="003417B9" w:rsidP="003417B9">
            <w:pPr>
              <w:shd w:val="clear" w:color="auto" w:fill="FFFFFF"/>
              <w:ind w:left="60"/>
              <w:jc w:val="both"/>
              <w:rPr>
                <w:rFonts w:ascii="Times New Roman" w:hAnsi="Times New Roman" w:cs="Times New Roman"/>
                <w:bCs/>
                <w:sz w:val="26"/>
                <w:szCs w:val="26"/>
              </w:rPr>
            </w:pPr>
            <w:r w:rsidRPr="003D6659">
              <w:rPr>
                <w:rFonts w:ascii="Times New Roman" w:hAnsi="Times New Roman" w:cs="Times New Roman"/>
                <w:bCs/>
                <w:sz w:val="26"/>
                <w:szCs w:val="26"/>
              </w:rPr>
              <w:t>3. Sở Xây dựng</w:t>
            </w:r>
          </w:p>
          <w:p w14:paraId="266E152C" w14:textId="055AF40D" w:rsidR="003417B9" w:rsidRPr="003D6659" w:rsidRDefault="003417B9" w:rsidP="003417B9">
            <w:pPr>
              <w:shd w:val="clear" w:color="auto" w:fill="FFFFFF"/>
              <w:ind w:left="60"/>
              <w:jc w:val="both"/>
              <w:rPr>
                <w:rFonts w:ascii="Times New Roman" w:hAnsi="Times New Roman" w:cs="Times New Roman"/>
                <w:bCs/>
                <w:sz w:val="26"/>
                <w:szCs w:val="26"/>
              </w:rPr>
            </w:pPr>
            <w:r w:rsidRPr="003D6659">
              <w:rPr>
                <w:rFonts w:ascii="Times New Roman" w:hAnsi="Times New Roman" w:cs="Times New Roman"/>
                <w:bCs/>
                <w:sz w:val="26"/>
                <w:szCs w:val="26"/>
              </w:rPr>
              <w:t>a) Chủ trì, phối hợp với các sở, ban, ngành có liên quan và Ủy ban nhân dân cấp huyện quản lý quy hoạch xây dựng theo phân cấp đồng thời phối hợp cho ý kiến về sự phù hợp quy hoạch xây dựng, quy hoạch đô thị đã được phê duyệt; không phá vỡ các khu chức năng; đảm bảo diện tích đất tối thiểu theo quy chuẩn kỹ thuật quốc gia về quy hoạch xây dựng.</w:t>
            </w:r>
          </w:p>
          <w:p w14:paraId="581607F1" w14:textId="77777777" w:rsidR="003417B9" w:rsidRPr="003D6659" w:rsidRDefault="003417B9" w:rsidP="003417B9">
            <w:pPr>
              <w:shd w:val="clear" w:color="auto" w:fill="FFFFFF"/>
              <w:ind w:left="60"/>
              <w:jc w:val="both"/>
              <w:rPr>
                <w:rFonts w:ascii="Times New Roman" w:hAnsi="Times New Roman" w:cs="Times New Roman"/>
                <w:bCs/>
                <w:sz w:val="26"/>
                <w:szCs w:val="26"/>
              </w:rPr>
            </w:pPr>
            <w:r w:rsidRPr="003D6659">
              <w:rPr>
                <w:rFonts w:ascii="Times New Roman" w:hAnsi="Times New Roman" w:cs="Times New Roman"/>
                <w:bCs/>
                <w:sz w:val="26"/>
                <w:szCs w:val="26"/>
              </w:rPr>
              <w:t>b) Hướng dẫn Ủy ban nhân dân cấp huyện trong việc xác nhận hoàn thành đầu tư hạ tầng kỹ thuật, đảm bảo kết nối hạ tầng trong khu vực theo quy hoạch tổng mặt bằng đã được cấp thẩm quyền phê duyệt.</w:t>
            </w:r>
          </w:p>
          <w:p w14:paraId="603B8875" w14:textId="77777777" w:rsidR="003417B9" w:rsidRPr="003D6659" w:rsidRDefault="003417B9" w:rsidP="003417B9">
            <w:pPr>
              <w:shd w:val="clear" w:color="auto" w:fill="FFFFFF"/>
              <w:ind w:left="60"/>
              <w:jc w:val="both"/>
              <w:rPr>
                <w:rFonts w:ascii="Times New Roman" w:hAnsi="Times New Roman" w:cs="Times New Roman"/>
                <w:bCs/>
                <w:sz w:val="26"/>
                <w:szCs w:val="26"/>
              </w:rPr>
            </w:pPr>
            <w:r w:rsidRPr="003D6659">
              <w:rPr>
                <w:rFonts w:ascii="Times New Roman" w:hAnsi="Times New Roman" w:cs="Times New Roman"/>
                <w:bCs/>
                <w:sz w:val="26"/>
                <w:szCs w:val="26"/>
              </w:rPr>
              <w:t>4. Ủy ban nhân dân cấp huyện</w:t>
            </w:r>
          </w:p>
          <w:p w14:paraId="66EEDD86" w14:textId="77777777" w:rsidR="003417B9" w:rsidRPr="003D6659" w:rsidRDefault="003417B9" w:rsidP="003417B9">
            <w:pPr>
              <w:shd w:val="clear" w:color="auto" w:fill="FFFFFF"/>
              <w:ind w:left="60"/>
              <w:jc w:val="both"/>
              <w:rPr>
                <w:rFonts w:ascii="Times New Roman" w:hAnsi="Times New Roman" w:cs="Times New Roman"/>
                <w:bCs/>
                <w:sz w:val="26"/>
                <w:szCs w:val="26"/>
              </w:rPr>
            </w:pPr>
            <w:r w:rsidRPr="003D6659">
              <w:rPr>
                <w:rFonts w:ascii="Times New Roman" w:hAnsi="Times New Roman" w:cs="Times New Roman"/>
                <w:bCs/>
                <w:sz w:val="26"/>
                <w:szCs w:val="26"/>
              </w:rPr>
              <w:t xml:space="preserve">a) Chỉ đạo Ủy ban nhân dân các </w:t>
            </w:r>
            <w:r w:rsidRPr="003D6659">
              <w:rPr>
                <w:rFonts w:ascii="Times New Roman" w:hAnsi="Times New Roman" w:cs="Times New Roman"/>
                <w:bCs/>
                <w:sz w:val="26"/>
                <w:szCs w:val="26"/>
              </w:rPr>
              <w:lastRenderedPageBreak/>
              <w:t>xã, phường, thị trấn rà soát nguồn gốc đất, tài sản trên đất; báo cáo nguồn gốc đất, tài sản trên đất trong quá trình tiếp nhận hồ sơ đề xuất dự án đầu tư và chịu trách nhiệm trước pháp luật về tính chính xác của nguồn gốc đất, tài sản trên đất.</w:t>
            </w:r>
          </w:p>
          <w:p w14:paraId="74B54288" w14:textId="77777777" w:rsidR="003417B9" w:rsidRPr="003D6659" w:rsidRDefault="003417B9" w:rsidP="003417B9">
            <w:pPr>
              <w:shd w:val="clear" w:color="auto" w:fill="FFFFFF"/>
              <w:ind w:left="60"/>
              <w:jc w:val="both"/>
              <w:rPr>
                <w:rFonts w:ascii="Times New Roman" w:hAnsi="Times New Roman" w:cs="Times New Roman"/>
                <w:bCs/>
                <w:sz w:val="26"/>
                <w:szCs w:val="26"/>
              </w:rPr>
            </w:pPr>
            <w:r w:rsidRPr="003D6659">
              <w:rPr>
                <w:rFonts w:ascii="Times New Roman" w:hAnsi="Times New Roman" w:cs="Times New Roman"/>
                <w:bCs/>
                <w:sz w:val="26"/>
                <w:szCs w:val="26"/>
              </w:rPr>
              <w:t>b) Kiểm tra, xác nhận việc hoàn thành đầu tư hạ tầng kỹ thuật, đảm bảo kết nối hạ tầng trong khu vực theo quy hoạch tổng mặt bằng đã được cấp thẩm quyền phê duyệt. Có ý kiến về sự phù hợp quy hoạch phân khu, quy hoạch chi tiết theo phân cấp quản lý trong việc xác định điều kiện để tách thành dự án độc lập khi tham gia thẩm định chủ trương đầu tư dự án.</w:t>
            </w:r>
          </w:p>
          <w:p w14:paraId="68C647FA" w14:textId="77777777" w:rsidR="003417B9" w:rsidRPr="003D6659" w:rsidRDefault="003417B9" w:rsidP="003417B9">
            <w:pPr>
              <w:shd w:val="clear" w:color="auto" w:fill="FFFFFF"/>
              <w:ind w:left="60"/>
              <w:jc w:val="both"/>
              <w:rPr>
                <w:rFonts w:ascii="Times New Roman" w:hAnsi="Times New Roman" w:cs="Times New Roman"/>
                <w:bCs/>
                <w:sz w:val="26"/>
                <w:szCs w:val="26"/>
              </w:rPr>
            </w:pPr>
            <w:r w:rsidRPr="003D6659">
              <w:rPr>
                <w:rFonts w:ascii="Times New Roman" w:hAnsi="Times New Roman" w:cs="Times New Roman"/>
                <w:bCs/>
                <w:sz w:val="26"/>
                <w:szCs w:val="26"/>
              </w:rPr>
              <w:t>5. Ủy ban nhân dân cấp xã</w:t>
            </w:r>
          </w:p>
          <w:p w14:paraId="19C4234E" w14:textId="77777777" w:rsidR="003417B9" w:rsidRPr="003D6659" w:rsidRDefault="003417B9" w:rsidP="003417B9">
            <w:pPr>
              <w:shd w:val="clear" w:color="auto" w:fill="FFFFFF"/>
              <w:ind w:left="60"/>
              <w:jc w:val="both"/>
              <w:rPr>
                <w:rFonts w:ascii="Times New Roman" w:hAnsi="Times New Roman" w:cs="Times New Roman"/>
                <w:bCs/>
                <w:sz w:val="26"/>
                <w:szCs w:val="26"/>
              </w:rPr>
            </w:pPr>
            <w:r w:rsidRPr="003D6659">
              <w:rPr>
                <w:rFonts w:ascii="Times New Roman" w:hAnsi="Times New Roman" w:cs="Times New Roman"/>
                <w:bCs/>
                <w:sz w:val="26"/>
                <w:szCs w:val="26"/>
              </w:rPr>
              <w:t>a) Quản lý chặt chẽ quỹ đất sử dụng vào mục đích công cộng được giao quản lý, đất chưa giao, đất chưa cho thuê trên địa bàn.</w:t>
            </w:r>
          </w:p>
          <w:p w14:paraId="148B26E1" w14:textId="77777777" w:rsidR="003417B9" w:rsidRPr="003D6659" w:rsidRDefault="003417B9" w:rsidP="003417B9">
            <w:pPr>
              <w:shd w:val="clear" w:color="auto" w:fill="FFFFFF"/>
              <w:ind w:left="60"/>
              <w:jc w:val="both"/>
              <w:rPr>
                <w:rFonts w:ascii="Times New Roman" w:hAnsi="Times New Roman" w:cs="Times New Roman"/>
                <w:bCs/>
                <w:sz w:val="26"/>
                <w:szCs w:val="26"/>
              </w:rPr>
            </w:pPr>
            <w:r w:rsidRPr="003D6659">
              <w:rPr>
                <w:rFonts w:ascii="Times New Roman" w:hAnsi="Times New Roman" w:cs="Times New Roman"/>
                <w:bCs/>
                <w:sz w:val="26"/>
                <w:szCs w:val="26"/>
              </w:rPr>
              <w:t xml:space="preserve">b) Rà soát, xác định nguồn gốc đất đai, tài sản trên đất để báo cáo nguồn gốc đất, tài sản trên đất trong quá trình tiếp nhận hồ sơ đề xuất dự án đầu tư; chịu trách </w:t>
            </w:r>
            <w:r w:rsidRPr="003D6659">
              <w:rPr>
                <w:rFonts w:ascii="Times New Roman" w:hAnsi="Times New Roman" w:cs="Times New Roman"/>
                <w:bCs/>
                <w:sz w:val="26"/>
                <w:szCs w:val="26"/>
              </w:rPr>
              <w:lastRenderedPageBreak/>
              <w:t>nhiệm trước pháp luật về tính chính xác của nguồn gốc đất đai, tài sản trên đất.</w:t>
            </w:r>
          </w:p>
          <w:p w14:paraId="395F3A6A" w14:textId="77777777" w:rsidR="003417B9" w:rsidRPr="003D6659" w:rsidRDefault="003417B9" w:rsidP="003417B9">
            <w:pPr>
              <w:shd w:val="clear" w:color="auto" w:fill="FFFFFF"/>
              <w:ind w:left="60"/>
              <w:jc w:val="both"/>
              <w:rPr>
                <w:rFonts w:ascii="Times New Roman" w:hAnsi="Times New Roman" w:cs="Times New Roman"/>
                <w:bCs/>
                <w:sz w:val="26"/>
                <w:szCs w:val="26"/>
              </w:rPr>
            </w:pPr>
            <w:r w:rsidRPr="003D6659">
              <w:rPr>
                <w:rFonts w:ascii="Times New Roman" w:hAnsi="Times New Roman" w:cs="Times New Roman"/>
                <w:bCs/>
                <w:sz w:val="26"/>
                <w:szCs w:val="26"/>
              </w:rPr>
              <w:t>6. Nhà đầu tư hội đủ điều kiện về pháp luật đầu tư, điều kiện về nhận chuyển nhượng quyền sử dụng đất theo quy định về pháp luật đất đai và Điều 60 Nghị định số 102/2024/NĐ-CP ngày 30 tháng 7 năm 2024 của Chính phủ có trách nhiệm phối hợp với các sở, ban, ngành và địa phương rà soát nguồn gốc đất và triển khai thực hiện theo Quy định này.</w:t>
            </w:r>
          </w:p>
          <w:p w14:paraId="0D51433C" w14:textId="1550C296" w:rsidR="003417B9" w:rsidRPr="003D6659" w:rsidRDefault="003417B9" w:rsidP="003417B9">
            <w:pPr>
              <w:shd w:val="clear" w:color="auto" w:fill="FFFFFF"/>
              <w:ind w:left="60"/>
              <w:jc w:val="both"/>
              <w:rPr>
                <w:rFonts w:ascii="Times New Roman" w:hAnsi="Times New Roman" w:cs="Times New Roman"/>
                <w:bCs/>
                <w:sz w:val="26"/>
                <w:szCs w:val="26"/>
              </w:rPr>
            </w:pPr>
            <w:r w:rsidRPr="003D6659">
              <w:rPr>
                <w:rFonts w:ascii="Times New Roman" w:hAnsi="Times New Roman" w:cs="Times New Roman"/>
                <w:bCs/>
                <w:sz w:val="26"/>
                <w:szCs w:val="26"/>
              </w:rPr>
              <w:t>7. Các sở, ngành, tổ chức, cá nhân có liên quan có trách nhiệm phối hợp với Sở Kế hoạch và Đầu tư, Ban Quản lý các Khu Kinh tế và Khu Công nghiệp tỉnh, Sở Tài nguyên và Môi trường và Ủy ban nhân dân cấp huyện, Ủy ban nhân dân cấp xã triển khai thực hiện theo đúng quy định của pháp luật và Quy định này.</w:t>
            </w:r>
          </w:p>
          <w:p w14:paraId="37A494C2" w14:textId="77777777" w:rsidR="005A05AC" w:rsidRPr="003D6659" w:rsidRDefault="005A05AC" w:rsidP="004D736E">
            <w:pPr>
              <w:shd w:val="clear" w:color="auto" w:fill="FFFFFF"/>
              <w:ind w:left="60"/>
              <w:jc w:val="both"/>
              <w:rPr>
                <w:rFonts w:ascii="Times New Roman" w:hAnsi="Times New Roman" w:cs="Times New Roman"/>
                <w:bCs/>
                <w:sz w:val="26"/>
                <w:szCs w:val="26"/>
              </w:rPr>
            </w:pPr>
          </w:p>
        </w:tc>
        <w:tc>
          <w:tcPr>
            <w:tcW w:w="3827" w:type="dxa"/>
          </w:tcPr>
          <w:p w14:paraId="5872E78B" w14:textId="57949EB0" w:rsidR="00DD18CE" w:rsidRPr="003D6659" w:rsidRDefault="00DD18CE" w:rsidP="004D736E">
            <w:pPr>
              <w:shd w:val="clear" w:color="auto" w:fill="FFFFFF"/>
              <w:ind w:left="60"/>
              <w:jc w:val="both"/>
              <w:rPr>
                <w:rFonts w:ascii="Times New Roman" w:hAnsi="Times New Roman" w:cs="Times New Roman"/>
                <w:b/>
                <w:bCs/>
                <w:sz w:val="26"/>
                <w:szCs w:val="26"/>
                <w:lang w:val="nl-NL"/>
              </w:rPr>
            </w:pPr>
            <w:r w:rsidRPr="003D6659">
              <w:rPr>
                <w:rFonts w:ascii="Times New Roman" w:hAnsi="Times New Roman" w:cs="Times New Roman"/>
                <w:b/>
                <w:bCs/>
                <w:sz w:val="26"/>
                <w:szCs w:val="26"/>
                <w:lang w:val="nl-NL"/>
              </w:rPr>
              <w:lastRenderedPageBreak/>
              <w:t>Điề</w:t>
            </w:r>
            <w:r w:rsidR="00D96C6A" w:rsidRPr="003D6659">
              <w:rPr>
                <w:rFonts w:ascii="Times New Roman" w:hAnsi="Times New Roman" w:cs="Times New Roman"/>
                <w:b/>
                <w:bCs/>
                <w:sz w:val="26"/>
                <w:szCs w:val="26"/>
                <w:lang w:val="nl-NL"/>
              </w:rPr>
              <w:t>u 5</w:t>
            </w:r>
            <w:r w:rsidRPr="003D6659">
              <w:rPr>
                <w:rFonts w:ascii="Times New Roman" w:hAnsi="Times New Roman" w:cs="Times New Roman"/>
                <w:b/>
                <w:bCs/>
                <w:sz w:val="26"/>
                <w:szCs w:val="26"/>
                <w:lang w:val="nl-NL"/>
              </w:rPr>
              <w:t xml:space="preserve">. Trách nhiệm của các cơ quan </w:t>
            </w:r>
          </w:p>
          <w:p w14:paraId="7232B0FA" w14:textId="77777777" w:rsidR="00AF7D18" w:rsidRPr="003D6659" w:rsidRDefault="00AF7D18" w:rsidP="00AF7D18">
            <w:pPr>
              <w:shd w:val="clear" w:color="auto" w:fill="FFFFFF"/>
              <w:ind w:left="60"/>
              <w:jc w:val="both"/>
              <w:rPr>
                <w:rFonts w:ascii="Times New Roman" w:hAnsi="Times New Roman" w:cs="Times New Roman"/>
                <w:bCs/>
                <w:sz w:val="26"/>
                <w:szCs w:val="26"/>
                <w:lang w:val="nl-NL"/>
              </w:rPr>
            </w:pPr>
            <w:r w:rsidRPr="003D6659">
              <w:rPr>
                <w:rFonts w:ascii="Times New Roman" w:hAnsi="Times New Roman" w:cs="Times New Roman"/>
                <w:bCs/>
                <w:sz w:val="26"/>
                <w:szCs w:val="26"/>
                <w:lang w:val="nl-NL"/>
              </w:rPr>
              <w:t>1. Sở Nông nghiệp và Môi trường</w:t>
            </w:r>
          </w:p>
          <w:p w14:paraId="1DBC502C" w14:textId="77777777" w:rsidR="00AF7D18" w:rsidRPr="003D6659" w:rsidRDefault="00AF7D18" w:rsidP="00AF7D18">
            <w:pPr>
              <w:shd w:val="clear" w:color="auto" w:fill="FFFFFF"/>
              <w:ind w:left="60"/>
              <w:jc w:val="both"/>
              <w:rPr>
                <w:rFonts w:ascii="Times New Roman" w:hAnsi="Times New Roman" w:cs="Times New Roman"/>
                <w:bCs/>
                <w:sz w:val="26"/>
                <w:szCs w:val="26"/>
                <w:lang w:val="nl-NL"/>
              </w:rPr>
            </w:pPr>
            <w:r w:rsidRPr="003D6659">
              <w:rPr>
                <w:rFonts w:ascii="Times New Roman" w:hAnsi="Times New Roman" w:cs="Times New Roman"/>
                <w:bCs/>
                <w:sz w:val="26"/>
                <w:szCs w:val="26"/>
                <w:lang w:val="nl-NL"/>
              </w:rPr>
              <w:t>a) Chủ trì, phối hợp với các cơ quan liên quan hướng dẫn, tổ chức thực hiện Quy định này.</w:t>
            </w:r>
          </w:p>
          <w:p w14:paraId="5C5C6A72" w14:textId="77777777" w:rsidR="00AF7D18" w:rsidRPr="003D6659" w:rsidRDefault="00AF7D18" w:rsidP="00AF7D18">
            <w:pPr>
              <w:shd w:val="clear" w:color="auto" w:fill="FFFFFF"/>
              <w:ind w:left="60"/>
              <w:jc w:val="both"/>
              <w:rPr>
                <w:rFonts w:ascii="Times New Roman" w:hAnsi="Times New Roman" w:cs="Times New Roman"/>
                <w:bCs/>
                <w:sz w:val="26"/>
                <w:szCs w:val="26"/>
                <w:lang w:val="nl-NL"/>
              </w:rPr>
            </w:pPr>
            <w:r w:rsidRPr="003D6659">
              <w:rPr>
                <w:rFonts w:ascii="Times New Roman" w:hAnsi="Times New Roman" w:cs="Times New Roman"/>
                <w:bCs/>
                <w:sz w:val="26"/>
                <w:szCs w:val="26"/>
                <w:lang w:val="nl-NL"/>
              </w:rPr>
              <w:lastRenderedPageBreak/>
              <w:t>b) Chủ trì, phối hợp với các đơn vị liên quan rà soát điều kiện, tiêu chí, quy mô, tỷ lệ diện tích theo Quy định này để báo cáo UBND thành phố về chủ trương tách thành dự án độc lập trong quá trình tham mưu chấp thuận việc thoả thuận về nhận quyền sử dụng đất để thực hiện dự án đối với các dự án thuộc thẩm quyền của UBND thành phố.</w:t>
            </w:r>
          </w:p>
          <w:p w14:paraId="606C75AC" w14:textId="77777777" w:rsidR="00AF7D18" w:rsidRPr="003D6659" w:rsidRDefault="00AF7D18" w:rsidP="00AF7D18">
            <w:pPr>
              <w:shd w:val="clear" w:color="auto" w:fill="FFFFFF"/>
              <w:ind w:left="60"/>
              <w:jc w:val="both"/>
              <w:rPr>
                <w:rFonts w:ascii="Times New Roman" w:hAnsi="Times New Roman" w:cs="Times New Roman"/>
                <w:bCs/>
                <w:sz w:val="26"/>
                <w:szCs w:val="26"/>
                <w:lang w:val="nl-NL"/>
              </w:rPr>
            </w:pPr>
            <w:r w:rsidRPr="003D6659">
              <w:rPr>
                <w:rFonts w:ascii="Times New Roman" w:hAnsi="Times New Roman" w:cs="Times New Roman"/>
                <w:bCs/>
                <w:sz w:val="26"/>
                <w:szCs w:val="26"/>
                <w:lang w:val="nl-NL"/>
              </w:rPr>
              <w:t>c) Sau khi có văn bản thống nhất chủ trương của UBND thành phố về tách thành dự án độc lập, thì chuyển thông tin cho Trung tâm Phát triển quỹ đất chủ trì, phối hợp với các cơ quan, đơn vị, địa phương liên quan tham mưu tổ chức thực hiện đấu giá quyền sử dụng đất theo quy định của pháp luật.</w:t>
            </w:r>
          </w:p>
          <w:p w14:paraId="3BEB34A8" w14:textId="77777777" w:rsidR="00AF7D18" w:rsidRPr="003D6659" w:rsidRDefault="00AF7D18" w:rsidP="00AF7D18">
            <w:pPr>
              <w:shd w:val="clear" w:color="auto" w:fill="FFFFFF"/>
              <w:ind w:left="60"/>
              <w:jc w:val="both"/>
              <w:rPr>
                <w:rFonts w:ascii="Times New Roman" w:hAnsi="Times New Roman" w:cs="Times New Roman"/>
                <w:bCs/>
                <w:sz w:val="26"/>
                <w:szCs w:val="26"/>
                <w:lang w:val="nl-NL"/>
              </w:rPr>
            </w:pPr>
            <w:r w:rsidRPr="003D6659">
              <w:rPr>
                <w:rFonts w:ascii="Times New Roman" w:hAnsi="Times New Roman" w:cs="Times New Roman"/>
                <w:bCs/>
                <w:sz w:val="26"/>
                <w:szCs w:val="26"/>
                <w:lang w:val="nl-NL"/>
              </w:rPr>
              <w:t xml:space="preserve">d) Tổ chức kiểm tra việc quản lý, sử dụng đất của địa phương để kịp thời phát hiện, chấn chỉnh các sai phạm. </w:t>
            </w:r>
          </w:p>
          <w:p w14:paraId="494FDD75" w14:textId="77777777" w:rsidR="00AF7D18" w:rsidRPr="003D6659" w:rsidRDefault="00AF7D18" w:rsidP="00AF7D18">
            <w:pPr>
              <w:shd w:val="clear" w:color="auto" w:fill="FFFFFF"/>
              <w:ind w:left="60"/>
              <w:jc w:val="both"/>
              <w:rPr>
                <w:rFonts w:ascii="Times New Roman" w:hAnsi="Times New Roman" w:cs="Times New Roman"/>
                <w:bCs/>
                <w:sz w:val="26"/>
                <w:szCs w:val="26"/>
                <w:lang w:val="nl-NL"/>
              </w:rPr>
            </w:pPr>
            <w:r w:rsidRPr="003D6659">
              <w:rPr>
                <w:rFonts w:ascii="Times New Roman" w:hAnsi="Times New Roman" w:cs="Times New Roman"/>
                <w:bCs/>
                <w:sz w:val="26"/>
                <w:szCs w:val="26"/>
                <w:lang w:val="nl-NL"/>
              </w:rPr>
              <w:t xml:space="preserve">đ) Phối hợp với Sở Tài chính trong quá trình tham mưu thủ tục chấp thuận chủ trương đầu tư đối với các dự án đầu tư trên địa bàn thành phố để tổng hợp báo cáo </w:t>
            </w:r>
            <w:r w:rsidRPr="003D6659">
              <w:rPr>
                <w:rFonts w:ascii="Times New Roman" w:hAnsi="Times New Roman" w:cs="Times New Roman"/>
                <w:bCs/>
                <w:sz w:val="26"/>
                <w:szCs w:val="26"/>
                <w:lang w:val="nl-NL"/>
              </w:rPr>
              <w:lastRenderedPageBreak/>
              <w:t>UBND thành phố chỉ đạo đối với các trường hợp đủ điều kiện, tiêu chí, quy mô, tỷ lệ diện tích để tách thành dự án độc lập theo Quy định này.</w:t>
            </w:r>
          </w:p>
          <w:p w14:paraId="17EFB5D6" w14:textId="77777777" w:rsidR="00AF7D18" w:rsidRPr="003D6659" w:rsidRDefault="00AF7D18" w:rsidP="00AF7D18">
            <w:pPr>
              <w:shd w:val="clear" w:color="auto" w:fill="FFFFFF"/>
              <w:ind w:left="60"/>
              <w:jc w:val="both"/>
              <w:rPr>
                <w:rFonts w:ascii="Times New Roman" w:hAnsi="Times New Roman" w:cs="Times New Roman"/>
                <w:bCs/>
                <w:sz w:val="26"/>
                <w:szCs w:val="26"/>
                <w:lang w:val="nl-NL"/>
              </w:rPr>
            </w:pPr>
            <w:r w:rsidRPr="003D6659">
              <w:rPr>
                <w:rFonts w:ascii="Times New Roman" w:hAnsi="Times New Roman" w:cs="Times New Roman"/>
                <w:bCs/>
                <w:sz w:val="26"/>
                <w:szCs w:val="26"/>
                <w:lang w:val="nl-NL"/>
              </w:rPr>
              <w:t xml:space="preserve">2. Sở Tài chính </w:t>
            </w:r>
          </w:p>
          <w:p w14:paraId="621F8E89" w14:textId="77777777" w:rsidR="00AF7D18" w:rsidRPr="003D6659" w:rsidRDefault="00AF7D18" w:rsidP="00AF7D18">
            <w:pPr>
              <w:shd w:val="clear" w:color="auto" w:fill="FFFFFF"/>
              <w:ind w:left="60"/>
              <w:jc w:val="both"/>
              <w:rPr>
                <w:rFonts w:ascii="Times New Roman" w:hAnsi="Times New Roman" w:cs="Times New Roman"/>
                <w:bCs/>
                <w:sz w:val="26"/>
                <w:szCs w:val="26"/>
                <w:lang w:val="nl-NL"/>
              </w:rPr>
            </w:pPr>
            <w:r w:rsidRPr="003D6659">
              <w:rPr>
                <w:rFonts w:ascii="Times New Roman" w:hAnsi="Times New Roman" w:cs="Times New Roman"/>
                <w:bCs/>
                <w:sz w:val="26"/>
                <w:szCs w:val="26"/>
                <w:lang w:val="nl-NL"/>
              </w:rPr>
              <w:t>a) Phối hợp với Sở Nông nghiệp và Môi trường và các Cơ quan, đơn vị có liên quan hướng dẫn, tổ chức thực hiện Quy định này.</w:t>
            </w:r>
          </w:p>
          <w:p w14:paraId="6FABF5A8" w14:textId="77777777" w:rsidR="00AF7D18" w:rsidRPr="003D6659" w:rsidRDefault="00AF7D18" w:rsidP="00AF7D18">
            <w:pPr>
              <w:shd w:val="clear" w:color="auto" w:fill="FFFFFF"/>
              <w:ind w:left="60"/>
              <w:jc w:val="both"/>
              <w:rPr>
                <w:rFonts w:ascii="Times New Roman" w:hAnsi="Times New Roman" w:cs="Times New Roman"/>
                <w:bCs/>
                <w:sz w:val="26"/>
                <w:szCs w:val="26"/>
                <w:lang w:val="nl-NL"/>
              </w:rPr>
            </w:pPr>
            <w:r w:rsidRPr="003D6659">
              <w:rPr>
                <w:rFonts w:ascii="Times New Roman" w:hAnsi="Times New Roman" w:cs="Times New Roman"/>
                <w:bCs/>
                <w:sz w:val="26"/>
                <w:szCs w:val="26"/>
              </w:rPr>
              <w:t xml:space="preserve">b) Chủ trì, tổng hợp báo cáo </w:t>
            </w:r>
            <w:r w:rsidRPr="003D6659">
              <w:rPr>
                <w:rFonts w:ascii="Times New Roman" w:hAnsi="Times New Roman" w:cs="Times New Roman"/>
                <w:bCs/>
                <w:sz w:val="26"/>
                <w:szCs w:val="26"/>
                <w:lang w:val="vi-VN"/>
              </w:rPr>
              <w:t>UBND</w:t>
            </w:r>
            <w:r w:rsidRPr="003D6659">
              <w:rPr>
                <w:rFonts w:ascii="Times New Roman" w:hAnsi="Times New Roman" w:cs="Times New Roman"/>
                <w:bCs/>
                <w:sz w:val="26"/>
                <w:szCs w:val="26"/>
              </w:rPr>
              <w:t xml:space="preserve"> thành phố các nội dung liên quan khi</w:t>
            </w:r>
            <w:r w:rsidRPr="003D6659">
              <w:rPr>
                <w:rFonts w:ascii="Times New Roman" w:hAnsi="Times New Roman" w:cs="Times New Roman"/>
                <w:bCs/>
                <w:sz w:val="26"/>
                <w:szCs w:val="26"/>
                <w:lang w:val="vi-VN"/>
              </w:rPr>
              <w:t xml:space="preserve"> </w:t>
            </w:r>
            <w:r w:rsidRPr="003D6659">
              <w:rPr>
                <w:rFonts w:ascii="Times New Roman" w:hAnsi="Times New Roman" w:cs="Times New Roman"/>
                <w:bCs/>
                <w:sz w:val="26"/>
                <w:szCs w:val="26"/>
              </w:rPr>
              <w:t>tham mưu thủ tục chấp thuận chủ trương đầu tư của các dự án đầu tư trên địa</w:t>
            </w:r>
            <w:r w:rsidRPr="003D6659">
              <w:rPr>
                <w:rFonts w:ascii="Times New Roman" w:hAnsi="Times New Roman" w:cs="Times New Roman"/>
                <w:bCs/>
                <w:sz w:val="26"/>
                <w:szCs w:val="26"/>
                <w:lang w:val="vi-VN"/>
              </w:rPr>
              <w:t xml:space="preserve"> </w:t>
            </w:r>
            <w:r w:rsidRPr="003D6659">
              <w:rPr>
                <w:rFonts w:ascii="Times New Roman" w:hAnsi="Times New Roman" w:cs="Times New Roman"/>
                <w:bCs/>
                <w:sz w:val="26"/>
                <w:szCs w:val="26"/>
              </w:rPr>
              <w:t xml:space="preserve">bàn thành phố </w:t>
            </w:r>
            <w:r w:rsidRPr="003D6659">
              <w:rPr>
                <w:rFonts w:ascii="Times New Roman" w:hAnsi="Times New Roman" w:cs="Times New Roman"/>
                <w:bCs/>
                <w:sz w:val="26"/>
                <w:szCs w:val="26"/>
                <w:lang w:val="nl-NL"/>
              </w:rPr>
              <w:t>đối với các trường hợp đủ điều kiện, tiêu chí, quy mô, tỷ lệ diện tích để tách thành dự án độc lập theo Quy định này.</w:t>
            </w:r>
          </w:p>
          <w:p w14:paraId="32FC30B5" w14:textId="77777777" w:rsidR="00AF7D18" w:rsidRPr="003D6659" w:rsidRDefault="00AF7D18" w:rsidP="00AF7D18">
            <w:pPr>
              <w:shd w:val="clear" w:color="auto" w:fill="FFFFFF"/>
              <w:ind w:left="60"/>
              <w:jc w:val="both"/>
              <w:rPr>
                <w:rFonts w:ascii="Times New Roman" w:hAnsi="Times New Roman" w:cs="Times New Roman"/>
                <w:bCs/>
                <w:sz w:val="26"/>
                <w:szCs w:val="26"/>
              </w:rPr>
            </w:pPr>
            <w:r w:rsidRPr="003D6659">
              <w:rPr>
                <w:rFonts w:ascii="Times New Roman" w:hAnsi="Times New Roman" w:cs="Times New Roman"/>
                <w:bCs/>
                <w:sz w:val="26"/>
                <w:szCs w:val="26"/>
              </w:rPr>
              <w:t>c) Tham mưu UBND thành phố rà soát xử lý các dự án đã được cấp Giấy chứng nhận đầu tư, Giấy chứng nhận đăng ký đầu tư, Quyết định chủ trương đầu tư, quyết</w:t>
            </w:r>
            <w:r w:rsidRPr="003D6659">
              <w:rPr>
                <w:rFonts w:ascii="Times New Roman" w:hAnsi="Times New Roman" w:cs="Times New Roman"/>
                <w:bCs/>
                <w:sz w:val="26"/>
                <w:szCs w:val="26"/>
                <w:lang w:val="vi-VN"/>
              </w:rPr>
              <w:t xml:space="preserve"> </w:t>
            </w:r>
            <w:r w:rsidRPr="003D6659">
              <w:rPr>
                <w:rFonts w:ascii="Times New Roman" w:hAnsi="Times New Roman" w:cs="Times New Roman"/>
                <w:bCs/>
                <w:sz w:val="26"/>
                <w:szCs w:val="26"/>
              </w:rPr>
              <w:t>định chấp thuận chủ trương đầu tư nhưng chưa được giao</w:t>
            </w:r>
            <w:r w:rsidRPr="003D6659">
              <w:rPr>
                <w:rFonts w:ascii="Times New Roman" w:hAnsi="Times New Roman" w:cs="Times New Roman"/>
                <w:bCs/>
                <w:sz w:val="26"/>
                <w:szCs w:val="26"/>
                <w:lang w:val="vi-VN"/>
              </w:rPr>
              <w:t xml:space="preserve"> </w:t>
            </w:r>
            <w:r w:rsidRPr="003D6659">
              <w:rPr>
                <w:rFonts w:ascii="Times New Roman" w:hAnsi="Times New Roman" w:cs="Times New Roman"/>
                <w:bCs/>
                <w:sz w:val="26"/>
                <w:szCs w:val="26"/>
              </w:rPr>
              <w:t>đất, cho thuê đất theo Quy định này.</w:t>
            </w:r>
          </w:p>
          <w:p w14:paraId="0FE56134" w14:textId="77777777" w:rsidR="00AF7D18" w:rsidRPr="003D6659" w:rsidRDefault="00AF7D18" w:rsidP="00AF7D18">
            <w:pPr>
              <w:shd w:val="clear" w:color="auto" w:fill="FFFFFF"/>
              <w:ind w:left="60"/>
              <w:jc w:val="both"/>
              <w:rPr>
                <w:rFonts w:ascii="Times New Roman" w:hAnsi="Times New Roman" w:cs="Times New Roman"/>
                <w:bCs/>
                <w:sz w:val="26"/>
                <w:szCs w:val="26"/>
                <w:lang w:val="nl-NL"/>
              </w:rPr>
            </w:pPr>
            <w:r w:rsidRPr="003D6659">
              <w:rPr>
                <w:rFonts w:ascii="Times New Roman" w:hAnsi="Times New Roman" w:cs="Times New Roman"/>
                <w:bCs/>
                <w:sz w:val="26"/>
                <w:szCs w:val="26"/>
                <w:lang w:val="nl-NL"/>
              </w:rPr>
              <w:t>d) Tham gia đóng góp ý kiến liên quan đến lĩnh vực đầu tư,</w:t>
            </w:r>
            <w:r w:rsidRPr="003D6659">
              <w:rPr>
                <w:rFonts w:ascii="Times New Roman" w:hAnsi="Times New Roman" w:cs="Times New Roman"/>
                <w:bCs/>
                <w:sz w:val="26"/>
                <w:szCs w:val="26"/>
              </w:rPr>
              <w:t xml:space="preserve"> quy hoạch phát triển kinh tế - xã hội </w:t>
            </w:r>
            <w:r w:rsidRPr="003D6659">
              <w:rPr>
                <w:rFonts w:ascii="Times New Roman" w:hAnsi="Times New Roman" w:cs="Times New Roman"/>
                <w:bCs/>
                <w:sz w:val="26"/>
                <w:szCs w:val="26"/>
              </w:rPr>
              <w:lastRenderedPageBreak/>
              <w:t>của địa phương, sự chồng lấn ranh giới khu đất đề xuất dự án với các dự án khác (nếu có) và các nội dung có liên quan</w:t>
            </w:r>
            <w:r w:rsidRPr="003D6659">
              <w:rPr>
                <w:rFonts w:ascii="Times New Roman" w:hAnsi="Times New Roman" w:cs="Times New Roman"/>
                <w:bCs/>
                <w:sz w:val="26"/>
                <w:szCs w:val="26"/>
                <w:lang w:val="nl-NL"/>
              </w:rPr>
              <w:t xml:space="preserve"> khi có văn bản đề nghị của Sở Nông nghiệp và Môi trường.</w:t>
            </w:r>
          </w:p>
          <w:p w14:paraId="6DCECC5F" w14:textId="77777777" w:rsidR="00AF7D18" w:rsidRPr="003D6659" w:rsidRDefault="00AF7D18" w:rsidP="00AF7D18">
            <w:pPr>
              <w:shd w:val="clear" w:color="auto" w:fill="FFFFFF"/>
              <w:ind w:left="60"/>
              <w:jc w:val="both"/>
              <w:rPr>
                <w:rFonts w:ascii="Times New Roman" w:hAnsi="Times New Roman" w:cs="Times New Roman"/>
                <w:bCs/>
                <w:sz w:val="26"/>
                <w:szCs w:val="26"/>
                <w:lang w:val="nl-NL"/>
              </w:rPr>
            </w:pPr>
            <w:r w:rsidRPr="003D6659">
              <w:rPr>
                <w:rFonts w:ascii="Times New Roman" w:hAnsi="Times New Roman" w:cs="Times New Roman"/>
                <w:bCs/>
                <w:sz w:val="26"/>
                <w:szCs w:val="26"/>
                <w:lang w:val="nl-NL"/>
              </w:rPr>
              <w:t>3. Sở Xây dựng</w:t>
            </w:r>
          </w:p>
          <w:p w14:paraId="31835977" w14:textId="77777777" w:rsidR="00AF7D18" w:rsidRPr="003D6659" w:rsidRDefault="00AF7D18" w:rsidP="00AF7D18">
            <w:pPr>
              <w:shd w:val="clear" w:color="auto" w:fill="FFFFFF"/>
              <w:ind w:left="60"/>
              <w:jc w:val="both"/>
              <w:rPr>
                <w:rFonts w:ascii="Times New Roman" w:hAnsi="Times New Roman" w:cs="Times New Roman"/>
                <w:bCs/>
                <w:sz w:val="26"/>
                <w:szCs w:val="26"/>
              </w:rPr>
            </w:pPr>
            <w:r w:rsidRPr="003D6659">
              <w:rPr>
                <w:rFonts w:ascii="Times New Roman" w:hAnsi="Times New Roman" w:cs="Times New Roman"/>
                <w:bCs/>
                <w:sz w:val="26"/>
                <w:szCs w:val="26"/>
                <w:lang w:val="nl-NL"/>
              </w:rPr>
              <w:t xml:space="preserve">Phối hợp với Sở Nông nghiệp và Môi trường, Sở Tài chính, UBND cấp xã nơi đề xuất dự án, tham gia đóng góp </w:t>
            </w:r>
            <w:r w:rsidRPr="003D6659">
              <w:rPr>
                <w:rFonts w:ascii="Times New Roman" w:hAnsi="Times New Roman" w:cs="Times New Roman"/>
                <w:bCs/>
                <w:sz w:val="26"/>
                <w:szCs w:val="26"/>
              </w:rPr>
              <w:t>ý kiến về sự phù hợp quy hoạch xây dựng, quy hoạch đô</w:t>
            </w:r>
            <w:r w:rsidRPr="003D6659">
              <w:rPr>
                <w:rFonts w:ascii="Times New Roman" w:hAnsi="Times New Roman" w:cs="Times New Roman"/>
                <w:bCs/>
                <w:sz w:val="26"/>
                <w:szCs w:val="26"/>
                <w:lang w:val="vi-VN"/>
              </w:rPr>
              <w:t xml:space="preserve"> </w:t>
            </w:r>
            <w:r w:rsidRPr="003D6659">
              <w:rPr>
                <w:rFonts w:ascii="Times New Roman" w:hAnsi="Times New Roman" w:cs="Times New Roman"/>
                <w:bCs/>
                <w:sz w:val="26"/>
                <w:szCs w:val="26"/>
              </w:rPr>
              <w:t>thị</w:t>
            </w:r>
            <w:r w:rsidRPr="003D6659">
              <w:rPr>
                <w:rFonts w:ascii="Times New Roman" w:hAnsi="Times New Roman" w:cs="Times New Roman"/>
                <w:bCs/>
                <w:sz w:val="26"/>
                <w:szCs w:val="26"/>
                <w:lang w:val="vi-VN"/>
              </w:rPr>
              <w:t xml:space="preserve"> </w:t>
            </w:r>
            <w:r w:rsidRPr="003D6659">
              <w:rPr>
                <w:rFonts w:ascii="Times New Roman" w:hAnsi="Times New Roman" w:cs="Times New Roman"/>
                <w:bCs/>
                <w:sz w:val="26"/>
                <w:szCs w:val="26"/>
              </w:rPr>
              <w:t>đã được phê duyệt; không phá vỡ các khu chức năng; đảm bảo diện tích đất tối</w:t>
            </w:r>
            <w:r w:rsidRPr="003D6659">
              <w:rPr>
                <w:rFonts w:ascii="Times New Roman" w:hAnsi="Times New Roman" w:cs="Times New Roman"/>
                <w:bCs/>
                <w:sz w:val="26"/>
                <w:szCs w:val="26"/>
                <w:lang w:val="vi-VN"/>
              </w:rPr>
              <w:t xml:space="preserve"> </w:t>
            </w:r>
            <w:r w:rsidRPr="003D6659">
              <w:rPr>
                <w:rFonts w:ascii="Times New Roman" w:hAnsi="Times New Roman" w:cs="Times New Roman"/>
                <w:bCs/>
                <w:sz w:val="26"/>
                <w:szCs w:val="26"/>
              </w:rPr>
              <w:t xml:space="preserve">thiểu theo quy chuẩn kỹ thuật quốc gia về quy hoạch xây dựng của từng dự án và các nội dung có liên quan </w:t>
            </w:r>
            <w:r w:rsidRPr="003D6659">
              <w:rPr>
                <w:rFonts w:ascii="Times New Roman" w:hAnsi="Times New Roman" w:cs="Times New Roman"/>
                <w:bCs/>
                <w:sz w:val="26"/>
                <w:szCs w:val="26"/>
                <w:lang w:val="nl-NL"/>
              </w:rPr>
              <w:t>theo chức năng, nhiệm vụ của ngành khi có văn bản đề nghị của Sở Nông nghiệp và Môi trường, Sở Tài chính và UBND cấp xã.</w:t>
            </w:r>
          </w:p>
          <w:p w14:paraId="170BF4F0" w14:textId="77777777" w:rsidR="00AF7D18" w:rsidRPr="003D6659" w:rsidRDefault="00AF7D18" w:rsidP="00AF7D18">
            <w:pPr>
              <w:shd w:val="clear" w:color="auto" w:fill="FFFFFF"/>
              <w:ind w:left="60"/>
              <w:jc w:val="both"/>
              <w:rPr>
                <w:rFonts w:ascii="Times New Roman" w:hAnsi="Times New Roman" w:cs="Times New Roman"/>
                <w:bCs/>
                <w:sz w:val="26"/>
                <w:szCs w:val="26"/>
                <w:lang w:val="nl-NL"/>
              </w:rPr>
            </w:pPr>
            <w:r w:rsidRPr="003D6659">
              <w:rPr>
                <w:rFonts w:ascii="Times New Roman" w:hAnsi="Times New Roman" w:cs="Times New Roman"/>
                <w:bCs/>
                <w:sz w:val="26"/>
                <w:szCs w:val="26"/>
                <w:lang w:val="nl-NL"/>
              </w:rPr>
              <w:t>4. Các sở, ban, ngành có liên quan</w:t>
            </w:r>
          </w:p>
          <w:p w14:paraId="40C05256" w14:textId="77777777" w:rsidR="00AF7D18" w:rsidRPr="003D6659" w:rsidRDefault="00AF7D18" w:rsidP="00AF7D18">
            <w:pPr>
              <w:shd w:val="clear" w:color="auto" w:fill="FFFFFF"/>
              <w:ind w:left="60"/>
              <w:jc w:val="both"/>
              <w:rPr>
                <w:rFonts w:ascii="Times New Roman" w:hAnsi="Times New Roman" w:cs="Times New Roman"/>
                <w:bCs/>
                <w:sz w:val="26"/>
                <w:szCs w:val="26"/>
              </w:rPr>
            </w:pPr>
            <w:r w:rsidRPr="003D6659">
              <w:rPr>
                <w:rFonts w:ascii="Times New Roman" w:hAnsi="Times New Roman" w:cs="Times New Roman"/>
                <w:bCs/>
                <w:sz w:val="26"/>
                <w:szCs w:val="26"/>
                <w:lang w:val="nl-NL"/>
              </w:rPr>
              <w:t xml:space="preserve">Phối hợp với Sở Nông nghiệp và Môi trường, Sở Tài chính tham gia đóng góp ý kiến các nội dung liên quan theo chức năng, nhiệm vụ khi có văn bản đề nghị của Sở </w:t>
            </w:r>
            <w:r w:rsidRPr="003D6659">
              <w:rPr>
                <w:rFonts w:ascii="Times New Roman" w:hAnsi="Times New Roman" w:cs="Times New Roman"/>
                <w:bCs/>
                <w:sz w:val="26"/>
                <w:szCs w:val="26"/>
                <w:lang w:val="nl-NL"/>
              </w:rPr>
              <w:lastRenderedPageBreak/>
              <w:t>Nông nghiệp và Môi trường, Sở Tài chính và UBND cấp xã.</w:t>
            </w:r>
          </w:p>
          <w:p w14:paraId="2D237B18" w14:textId="77777777" w:rsidR="00AF7D18" w:rsidRPr="003D6659" w:rsidRDefault="00AF7D18" w:rsidP="00AF7D18">
            <w:pPr>
              <w:shd w:val="clear" w:color="auto" w:fill="FFFFFF"/>
              <w:ind w:left="60"/>
              <w:jc w:val="both"/>
              <w:rPr>
                <w:rFonts w:ascii="Times New Roman" w:hAnsi="Times New Roman" w:cs="Times New Roman"/>
                <w:bCs/>
                <w:sz w:val="26"/>
                <w:szCs w:val="26"/>
                <w:lang w:val="nl-NL"/>
              </w:rPr>
            </w:pPr>
            <w:r w:rsidRPr="003D6659">
              <w:rPr>
                <w:rFonts w:ascii="Times New Roman" w:hAnsi="Times New Roman" w:cs="Times New Roman"/>
                <w:bCs/>
                <w:sz w:val="26"/>
                <w:szCs w:val="26"/>
                <w:lang w:val="nl-NL"/>
              </w:rPr>
              <w:t>5. UBND cấp xã</w:t>
            </w:r>
          </w:p>
          <w:p w14:paraId="453616FE" w14:textId="77777777" w:rsidR="00AF7D18" w:rsidRPr="003D6659" w:rsidRDefault="00AF7D18" w:rsidP="00AF7D18">
            <w:pPr>
              <w:shd w:val="clear" w:color="auto" w:fill="FFFFFF"/>
              <w:ind w:left="60"/>
              <w:jc w:val="both"/>
              <w:rPr>
                <w:rFonts w:ascii="Times New Roman" w:hAnsi="Times New Roman" w:cs="Times New Roman"/>
                <w:bCs/>
                <w:sz w:val="26"/>
                <w:szCs w:val="26"/>
              </w:rPr>
            </w:pPr>
            <w:r w:rsidRPr="003D6659">
              <w:rPr>
                <w:rFonts w:ascii="Times New Roman" w:hAnsi="Times New Roman" w:cs="Times New Roman"/>
                <w:bCs/>
                <w:sz w:val="26"/>
                <w:szCs w:val="26"/>
              </w:rPr>
              <w:t>a) Rà soát, xác định nguồn gốc đất đai, tài sản trên đất để báo cáo nguồn gốc</w:t>
            </w:r>
            <w:r w:rsidRPr="003D6659">
              <w:rPr>
                <w:rFonts w:ascii="Times New Roman" w:hAnsi="Times New Roman" w:cs="Times New Roman"/>
                <w:bCs/>
                <w:sz w:val="26"/>
                <w:szCs w:val="26"/>
                <w:lang w:val="vi-VN"/>
              </w:rPr>
              <w:t xml:space="preserve"> </w:t>
            </w:r>
            <w:r w:rsidRPr="003D6659">
              <w:rPr>
                <w:rFonts w:ascii="Times New Roman" w:hAnsi="Times New Roman" w:cs="Times New Roman"/>
                <w:bCs/>
                <w:sz w:val="26"/>
                <w:szCs w:val="26"/>
              </w:rPr>
              <w:t>đất, tài sản trên đất trong quá trình tiếp nhận hồ sơ đề xuất dự án đầu tư và chịu trách</w:t>
            </w:r>
            <w:r w:rsidRPr="003D6659">
              <w:rPr>
                <w:rFonts w:ascii="Times New Roman" w:hAnsi="Times New Roman" w:cs="Times New Roman"/>
                <w:bCs/>
                <w:sz w:val="26"/>
                <w:szCs w:val="26"/>
                <w:lang w:val="vi-VN"/>
              </w:rPr>
              <w:t xml:space="preserve"> </w:t>
            </w:r>
            <w:r w:rsidRPr="003D6659">
              <w:rPr>
                <w:rFonts w:ascii="Times New Roman" w:hAnsi="Times New Roman" w:cs="Times New Roman"/>
                <w:bCs/>
                <w:sz w:val="26"/>
                <w:szCs w:val="26"/>
              </w:rPr>
              <w:t>nhiệm trước pháp luật về tính chính xác của nguồn gốc đất đai, tài sản trên đất.</w:t>
            </w:r>
          </w:p>
          <w:p w14:paraId="471CEEDB" w14:textId="77777777" w:rsidR="00AF7D18" w:rsidRPr="003D6659" w:rsidRDefault="00AF7D18" w:rsidP="00AF7D18">
            <w:pPr>
              <w:shd w:val="clear" w:color="auto" w:fill="FFFFFF"/>
              <w:ind w:left="60"/>
              <w:jc w:val="both"/>
              <w:rPr>
                <w:rFonts w:ascii="Times New Roman" w:hAnsi="Times New Roman" w:cs="Times New Roman"/>
                <w:bCs/>
                <w:sz w:val="26"/>
                <w:szCs w:val="26"/>
                <w:lang w:val="nl-NL"/>
              </w:rPr>
            </w:pPr>
            <w:r w:rsidRPr="003D6659">
              <w:rPr>
                <w:rFonts w:ascii="Times New Roman" w:hAnsi="Times New Roman" w:cs="Times New Roman"/>
                <w:bCs/>
                <w:sz w:val="26"/>
                <w:szCs w:val="26"/>
                <w:lang w:val="nl-NL"/>
              </w:rPr>
              <w:t xml:space="preserve">b) Chủ trì, phối hợp với các đơn vị liên quan rà soát điều kiện, tiêu chí, quy mô, tỷ lệ diện tích theo Quy định này để Quyết định chủ trương tách thành dự án độc lập trong quá trình chấp thuận việc thoả thuận về nhận quyền sử dụng đất để thực hiện dự án đối với các dự án thuộc thẩm quyền của UBND cấp xã; đồng thời chuyển thông tin cho Trung tâm Phát triển quỹ đất chủ trì, phối hợp với các cơ quan, đơn vị, địa phương liên quan tham mưu tổ chức thực hiện đấu giá quyền sử dụng đất theo quy định của pháp luật. </w:t>
            </w:r>
          </w:p>
          <w:p w14:paraId="3C042691" w14:textId="77777777" w:rsidR="00AF7D18" w:rsidRPr="003D6659" w:rsidRDefault="00AF7D18" w:rsidP="00AF7D18">
            <w:pPr>
              <w:shd w:val="clear" w:color="auto" w:fill="FFFFFF"/>
              <w:ind w:left="60"/>
              <w:jc w:val="both"/>
              <w:rPr>
                <w:rFonts w:ascii="Times New Roman" w:hAnsi="Times New Roman" w:cs="Times New Roman"/>
                <w:bCs/>
                <w:sz w:val="26"/>
                <w:szCs w:val="26"/>
                <w:lang w:val="nl-NL"/>
              </w:rPr>
            </w:pPr>
            <w:r w:rsidRPr="003D6659">
              <w:rPr>
                <w:rFonts w:ascii="Times New Roman" w:hAnsi="Times New Roman" w:cs="Times New Roman"/>
                <w:bCs/>
                <w:sz w:val="26"/>
                <w:szCs w:val="26"/>
                <w:lang w:val="nl-NL"/>
              </w:rPr>
              <w:t xml:space="preserve">b) Quản lý chặt chẽ quỹ đất </w:t>
            </w:r>
            <w:r w:rsidRPr="003D6659">
              <w:rPr>
                <w:rFonts w:ascii="Times New Roman" w:hAnsi="Times New Roman" w:cs="Times New Roman"/>
                <w:bCs/>
                <w:sz w:val="26"/>
                <w:szCs w:val="26"/>
              </w:rPr>
              <w:t xml:space="preserve">do cơ quan, tổ chức của Nhà nước quản </w:t>
            </w:r>
            <w:r w:rsidRPr="003D6659">
              <w:rPr>
                <w:rFonts w:ascii="Times New Roman" w:hAnsi="Times New Roman" w:cs="Times New Roman"/>
                <w:bCs/>
                <w:sz w:val="26"/>
                <w:szCs w:val="26"/>
              </w:rPr>
              <w:lastRenderedPageBreak/>
              <w:t>lý, đất chưa giao, chưa cho thuê trên địa bàn.</w:t>
            </w:r>
          </w:p>
          <w:p w14:paraId="06486ECF" w14:textId="77777777" w:rsidR="00AF7D18" w:rsidRPr="003D6659" w:rsidRDefault="00AF7D18" w:rsidP="00AF7D18">
            <w:pPr>
              <w:shd w:val="clear" w:color="auto" w:fill="FFFFFF"/>
              <w:ind w:left="60"/>
              <w:jc w:val="both"/>
              <w:rPr>
                <w:rFonts w:ascii="Times New Roman" w:hAnsi="Times New Roman" w:cs="Times New Roman"/>
                <w:bCs/>
                <w:sz w:val="26"/>
                <w:szCs w:val="26"/>
              </w:rPr>
            </w:pPr>
            <w:r w:rsidRPr="003D6659">
              <w:rPr>
                <w:rFonts w:ascii="Times New Roman" w:hAnsi="Times New Roman" w:cs="Times New Roman"/>
                <w:bCs/>
                <w:sz w:val="26"/>
                <w:szCs w:val="26"/>
                <w:lang w:val="nl-NL"/>
              </w:rPr>
              <w:t xml:space="preserve">c) </w:t>
            </w:r>
            <w:r w:rsidRPr="003D6659">
              <w:rPr>
                <w:rFonts w:ascii="Times New Roman" w:hAnsi="Times New Roman" w:cs="Times New Roman"/>
                <w:bCs/>
                <w:sz w:val="26"/>
                <w:szCs w:val="26"/>
                <w:lang w:val="vi-VN"/>
              </w:rPr>
              <w:t>Có ý kiến về sự phù hợp quy hoạch phân khu, quy hoạch chi tiết theo phân cấp quản lý trong việc xác định điều kiện để tách thành dự án độc lập khi tham gia thẩm định chủ trương đầu tư dự án</w:t>
            </w:r>
            <w:r w:rsidRPr="003D6659">
              <w:rPr>
                <w:rFonts w:ascii="Times New Roman" w:hAnsi="Times New Roman" w:cs="Times New Roman"/>
                <w:bCs/>
                <w:sz w:val="26"/>
                <w:szCs w:val="26"/>
              </w:rPr>
              <w:t>.</w:t>
            </w:r>
          </w:p>
          <w:p w14:paraId="3FEB9E8F" w14:textId="2A0AA631" w:rsidR="005A05AC" w:rsidRPr="003D6659" w:rsidRDefault="00AF7D18" w:rsidP="00AF7D18">
            <w:pPr>
              <w:shd w:val="clear" w:color="auto" w:fill="FFFFFF"/>
              <w:ind w:left="60"/>
              <w:jc w:val="both"/>
              <w:rPr>
                <w:rFonts w:ascii="Times New Roman" w:hAnsi="Times New Roman" w:cs="Times New Roman"/>
                <w:bCs/>
                <w:sz w:val="26"/>
                <w:szCs w:val="26"/>
                <w:lang w:val="nl-NL"/>
              </w:rPr>
            </w:pPr>
            <w:r w:rsidRPr="003D6659">
              <w:rPr>
                <w:rFonts w:ascii="Times New Roman" w:hAnsi="Times New Roman" w:cs="Times New Roman"/>
                <w:bCs/>
                <w:sz w:val="26"/>
                <w:szCs w:val="26"/>
                <w:lang w:val="nl-NL"/>
              </w:rPr>
              <w:t>d) Triển khai tuyên truyền, vận động mọi tổ chức, cá nhân về chính sách đấu giá quyền sử dụng đất, mua tài sản gắn liền với đất, nhận chuyển nhượng, thuê quyền sử dụng đất, nhận góp vốn bằng quyền sử dụng đất theo quy định của pháp luật.</w:t>
            </w:r>
          </w:p>
        </w:tc>
        <w:tc>
          <w:tcPr>
            <w:tcW w:w="3827" w:type="dxa"/>
          </w:tcPr>
          <w:p w14:paraId="4D2EA3BF" w14:textId="5EF414DA" w:rsidR="005A05AC" w:rsidRPr="003D6659" w:rsidRDefault="00BE72AC" w:rsidP="004D736E">
            <w:pPr>
              <w:jc w:val="both"/>
              <w:rPr>
                <w:rFonts w:ascii="Times New Roman" w:hAnsi="Times New Roman" w:cs="Times New Roman"/>
                <w:bCs/>
                <w:iCs/>
                <w:sz w:val="26"/>
                <w:szCs w:val="26"/>
              </w:rPr>
            </w:pPr>
            <w:r w:rsidRPr="003D6659">
              <w:rPr>
                <w:rFonts w:ascii="Times New Roman" w:hAnsi="Times New Roman" w:cs="Times New Roman"/>
                <w:bCs/>
                <w:sz w:val="26"/>
                <w:szCs w:val="26"/>
              </w:rPr>
              <w:lastRenderedPageBreak/>
              <w:t>Trách nhiệm của các cơ quan giữa 02 Quyết định tương đối giống nhau, không có sự thay đổi. Đơn vị soạn thảo đã chỉnh sửa theo mô hình chính quyền mới 02 cấp.</w:t>
            </w:r>
          </w:p>
        </w:tc>
      </w:tr>
    </w:tbl>
    <w:p w14:paraId="2BA46798" w14:textId="3136DD75" w:rsidR="000F6638" w:rsidRDefault="000F6638" w:rsidP="008176AB">
      <w:pPr>
        <w:spacing w:after="120" w:line="240" w:lineRule="auto"/>
        <w:rPr>
          <w:rFonts w:ascii="Times New Roman" w:hAnsi="Times New Roman" w:cs="Times New Roman"/>
          <w:sz w:val="26"/>
          <w:szCs w:val="26"/>
        </w:rPr>
      </w:pPr>
    </w:p>
    <w:sectPr w:rsidR="000F6638" w:rsidSect="00AC431E">
      <w:headerReference w:type="default" r:id="rId8"/>
      <w:pgSz w:w="16840" w:h="11907" w:orient="landscape" w:code="9"/>
      <w:pgMar w:top="1701" w:right="1134" w:bottom="1134" w:left="1134" w:header="720" w:footer="72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17F73B" w14:textId="77777777" w:rsidR="002D5C03" w:rsidRDefault="002D5C03">
      <w:pPr>
        <w:spacing w:after="0" w:line="240" w:lineRule="auto"/>
      </w:pPr>
      <w:r>
        <w:separator/>
      </w:r>
    </w:p>
  </w:endnote>
  <w:endnote w:type="continuationSeparator" w:id="0">
    <w:p w14:paraId="2A624283" w14:textId="77777777" w:rsidR="002D5C03" w:rsidRDefault="002D5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6050AB" w14:textId="77777777" w:rsidR="002D5C03" w:rsidRDefault="002D5C03">
      <w:pPr>
        <w:spacing w:after="0" w:line="240" w:lineRule="auto"/>
      </w:pPr>
      <w:r>
        <w:separator/>
      </w:r>
    </w:p>
  </w:footnote>
  <w:footnote w:type="continuationSeparator" w:id="0">
    <w:p w14:paraId="150ACB01" w14:textId="77777777" w:rsidR="002D5C03" w:rsidRDefault="002D5C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6466708"/>
      <w:docPartObj>
        <w:docPartGallery w:val="Page Numbers (Top of Page)"/>
        <w:docPartUnique/>
      </w:docPartObj>
    </w:sdtPr>
    <w:sdtEndPr>
      <w:rPr>
        <w:noProof/>
      </w:rPr>
    </w:sdtEndPr>
    <w:sdtContent>
      <w:p w14:paraId="26E17C27" w14:textId="2BF4FE51" w:rsidR="000F6638" w:rsidRDefault="00253289">
        <w:pPr>
          <w:pStyle w:val="Header"/>
          <w:jc w:val="center"/>
        </w:pPr>
        <w:r>
          <w:fldChar w:fldCharType="begin"/>
        </w:r>
        <w:r>
          <w:instrText xml:space="preserve"> PAGE   \* MERGEFORMAT </w:instrText>
        </w:r>
        <w:r>
          <w:fldChar w:fldCharType="separate"/>
        </w:r>
        <w:r w:rsidR="0090095D">
          <w:rPr>
            <w:noProof/>
          </w:rPr>
          <w:t>5</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A51D9"/>
    <w:multiLevelType w:val="hybridMultilevel"/>
    <w:tmpl w:val="91B4293A"/>
    <w:lvl w:ilvl="0" w:tplc="09205A04">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 w15:restartNumberingAfterBreak="0">
    <w:nsid w:val="0EDE0149"/>
    <w:multiLevelType w:val="hybridMultilevel"/>
    <w:tmpl w:val="EDAEBE40"/>
    <w:lvl w:ilvl="0" w:tplc="0FB6323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0EF33527"/>
    <w:multiLevelType w:val="hybridMultilevel"/>
    <w:tmpl w:val="A328CF66"/>
    <w:lvl w:ilvl="0" w:tplc="0FB6323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18D56619"/>
    <w:multiLevelType w:val="hybridMultilevel"/>
    <w:tmpl w:val="B71C2868"/>
    <w:lvl w:ilvl="0" w:tplc="0FB6323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195C104E"/>
    <w:multiLevelType w:val="hybridMultilevel"/>
    <w:tmpl w:val="21729A1C"/>
    <w:lvl w:ilvl="0" w:tplc="B8E6F5A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1B2F1045"/>
    <w:multiLevelType w:val="hybridMultilevel"/>
    <w:tmpl w:val="EC1A607A"/>
    <w:lvl w:ilvl="0" w:tplc="BA422C2E">
      <w:start w:val="1"/>
      <w:numFmt w:val="decimal"/>
      <w:lvlText w:val="%1."/>
      <w:lvlJc w:val="left"/>
      <w:pPr>
        <w:ind w:left="107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B5E26CC"/>
    <w:multiLevelType w:val="hybridMultilevel"/>
    <w:tmpl w:val="863C4356"/>
    <w:lvl w:ilvl="0" w:tplc="B8E6F5A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1FC56F03"/>
    <w:multiLevelType w:val="hybridMultilevel"/>
    <w:tmpl w:val="07443FE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621A2F"/>
    <w:multiLevelType w:val="hybridMultilevel"/>
    <w:tmpl w:val="B7C0F37E"/>
    <w:lvl w:ilvl="0" w:tplc="879611FE">
      <w:start w:val="1"/>
      <w:numFmt w:val="decimal"/>
      <w:lvlText w:val="%1."/>
      <w:lvlJc w:val="left"/>
      <w:pPr>
        <w:ind w:left="1637" w:hanging="36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9" w15:restartNumberingAfterBreak="0">
    <w:nsid w:val="2DCE69E1"/>
    <w:multiLevelType w:val="hybridMultilevel"/>
    <w:tmpl w:val="EA52F54E"/>
    <w:lvl w:ilvl="0" w:tplc="4B4AE158">
      <w:start w:val="1"/>
      <w:numFmt w:val="decimal"/>
      <w:lvlText w:val="Điều %1."/>
      <w:lvlJc w:val="left"/>
      <w:pPr>
        <w:ind w:left="1429" w:hanging="360"/>
      </w:pPr>
      <w:rPr>
        <w:rFonts w:hint="default"/>
        <w:b/>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15:restartNumberingAfterBreak="0">
    <w:nsid w:val="36342A35"/>
    <w:multiLevelType w:val="hybridMultilevel"/>
    <w:tmpl w:val="A2BC98C2"/>
    <w:lvl w:ilvl="0" w:tplc="B8E6F5A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3AD07343"/>
    <w:multiLevelType w:val="hybridMultilevel"/>
    <w:tmpl w:val="BA98DF0E"/>
    <w:lvl w:ilvl="0" w:tplc="FC8AC46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3C4B55FB"/>
    <w:multiLevelType w:val="hybridMultilevel"/>
    <w:tmpl w:val="EA52F54E"/>
    <w:lvl w:ilvl="0" w:tplc="4B4AE158">
      <w:start w:val="1"/>
      <w:numFmt w:val="decimal"/>
      <w:lvlText w:val="Điều %1."/>
      <w:lvlJc w:val="left"/>
      <w:pPr>
        <w:ind w:left="1429" w:hanging="360"/>
      </w:pPr>
      <w:rPr>
        <w:rFonts w:hint="default"/>
        <w:b/>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15:restartNumberingAfterBreak="0">
    <w:nsid w:val="43641DDB"/>
    <w:multiLevelType w:val="hybridMultilevel"/>
    <w:tmpl w:val="96B64D1A"/>
    <w:lvl w:ilvl="0" w:tplc="D722F3BE">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492B3C26"/>
    <w:multiLevelType w:val="hybridMultilevel"/>
    <w:tmpl w:val="EA52F54E"/>
    <w:lvl w:ilvl="0" w:tplc="4B4AE158">
      <w:start w:val="1"/>
      <w:numFmt w:val="decimal"/>
      <w:lvlText w:val="Điều %1."/>
      <w:lvlJc w:val="left"/>
      <w:pPr>
        <w:ind w:left="1429" w:hanging="360"/>
      </w:pPr>
      <w:rPr>
        <w:rFonts w:hint="default"/>
        <w:b/>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 w15:restartNumberingAfterBreak="0">
    <w:nsid w:val="51015F46"/>
    <w:multiLevelType w:val="hybridMultilevel"/>
    <w:tmpl w:val="61C40C94"/>
    <w:lvl w:ilvl="0" w:tplc="879611F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52195033"/>
    <w:multiLevelType w:val="hybridMultilevel"/>
    <w:tmpl w:val="F4864B74"/>
    <w:lvl w:ilvl="0" w:tplc="7D0233B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525F5BF6"/>
    <w:multiLevelType w:val="hybridMultilevel"/>
    <w:tmpl w:val="41049648"/>
    <w:lvl w:ilvl="0" w:tplc="D722F3B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53A65DD1"/>
    <w:multiLevelType w:val="hybridMultilevel"/>
    <w:tmpl w:val="EA52F54E"/>
    <w:lvl w:ilvl="0" w:tplc="4B4AE158">
      <w:start w:val="1"/>
      <w:numFmt w:val="decimal"/>
      <w:lvlText w:val="Điều %1."/>
      <w:lvlJc w:val="left"/>
      <w:pPr>
        <w:ind w:left="1429" w:hanging="360"/>
      </w:pPr>
      <w:rPr>
        <w:rFonts w:hint="default"/>
        <w:b/>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9" w15:restartNumberingAfterBreak="0">
    <w:nsid w:val="545F0D4E"/>
    <w:multiLevelType w:val="hybridMultilevel"/>
    <w:tmpl w:val="5674374A"/>
    <w:lvl w:ilvl="0" w:tplc="879611F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576E6AB2"/>
    <w:multiLevelType w:val="hybridMultilevel"/>
    <w:tmpl w:val="2A78C470"/>
    <w:lvl w:ilvl="0" w:tplc="B16CF34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15:restartNumberingAfterBreak="0">
    <w:nsid w:val="5BB74A83"/>
    <w:multiLevelType w:val="hybridMultilevel"/>
    <w:tmpl w:val="7A4063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95536F"/>
    <w:multiLevelType w:val="hybridMultilevel"/>
    <w:tmpl w:val="C74EAB76"/>
    <w:lvl w:ilvl="0" w:tplc="B4FCA926">
      <w:start w:val="2"/>
      <w:numFmt w:val="decimal"/>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23" w15:restartNumberingAfterBreak="0">
    <w:nsid w:val="6636767B"/>
    <w:multiLevelType w:val="hybridMultilevel"/>
    <w:tmpl w:val="0A6ABE2C"/>
    <w:lvl w:ilvl="0" w:tplc="879611F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15:restartNumberingAfterBreak="0">
    <w:nsid w:val="66A22669"/>
    <w:multiLevelType w:val="hybridMultilevel"/>
    <w:tmpl w:val="0A2CA78C"/>
    <w:lvl w:ilvl="0" w:tplc="487C32E2">
      <w:start w:val="1"/>
      <w:numFmt w:val="decimal"/>
      <w:lvlText w:val="%1."/>
      <w:lvlJc w:val="left"/>
      <w:pPr>
        <w:ind w:left="5747" w:hanging="360"/>
      </w:pPr>
      <w:rPr>
        <w:rFonts w:hint="default"/>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8416086"/>
    <w:multiLevelType w:val="hybridMultilevel"/>
    <w:tmpl w:val="134E19BC"/>
    <w:lvl w:ilvl="0" w:tplc="98BCD5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F433320"/>
    <w:multiLevelType w:val="hybridMultilevel"/>
    <w:tmpl w:val="8FB0003E"/>
    <w:lvl w:ilvl="0" w:tplc="D722F3BE">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15:restartNumberingAfterBreak="0">
    <w:nsid w:val="708E37A2"/>
    <w:multiLevelType w:val="hybridMultilevel"/>
    <w:tmpl w:val="976E000C"/>
    <w:lvl w:ilvl="0" w:tplc="593CC372">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8" w15:restartNumberingAfterBreak="0">
    <w:nsid w:val="757B430C"/>
    <w:multiLevelType w:val="hybridMultilevel"/>
    <w:tmpl w:val="C2FE19DC"/>
    <w:lvl w:ilvl="0" w:tplc="7A360C86">
      <w:start w:val="1"/>
      <w:numFmt w:val="decimal"/>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29" w15:restartNumberingAfterBreak="0">
    <w:nsid w:val="7E6530A3"/>
    <w:multiLevelType w:val="hybridMultilevel"/>
    <w:tmpl w:val="A886BF42"/>
    <w:lvl w:ilvl="0" w:tplc="4FCCD8B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20"/>
  </w:num>
  <w:num w:numId="2">
    <w:abstractNumId w:val="22"/>
  </w:num>
  <w:num w:numId="3">
    <w:abstractNumId w:val="7"/>
  </w:num>
  <w:num w:numId="4">
    <w:abstractNumId w:val="25"/>
  </w:num>
  <w:num w:numId="5">
    <w:abstractNumId w:val="26"/>
  </w:num>
  <w:num w:numId="6">
    <w:abstractNumId w:val="13"/>
  </w:num>
  <w:num w:numId="7">
    <w:abstractNumId w:val="17"/>
  </w:num>
  <w:num w:numId="8">
    <w:abstractNumId w:val="10"/>
  </w:num>
  <w:num w:numId="9">
    <w:abstractNumId w:val="16"/>
  </w:num>
  <w:num w:numId="10">
    <w:abstractNumId w:val="29"/>
  </w:num>
  <w:num w:numId="11">
    <w:abstractNumId w:val="21"/>
  </w:num>
  <w:num w:numId="12">
    <w:abstractNumId w:val="28"/>
  </w:num>
  <w:num w:numId="13">
    <w:abstractNumId w:val="5"/>
  </w:num>
  <w:num w:numId="14">
    <w:abstractNumId w:val="6"/>
  </w:num>
  <w:num w:numId="15">
    <w:abstractNumId w:val="24"/>
  </w:num>
  <w:num w:numId="16">
    <w:abstractNumId w:val="23"/>
  </w:num>
  <w:num w:numId="17">
    <w:abstractNumId w:val="8"/>
  </w:num>
  <w:num w:numId="18">
    <w:abstractNumId w:val="19"/>
  </w:num>
  <w:num w:numId="19">
    <w:abstractNumId w:val="0"/>
  </w:num>
  <w:num w:numId="20">
    <w:abstractNumId w:val="15"/>
  </w:num>
  <w:num w:numId="21">
    <w:abstractNumId w:val="1"/>
  </w:num>
  <w:num w:numId="22">
    <w:abstractNumId w:val="2"/>
  </w:num>
  <w:num w:numId="23">
    <w:abstractNumId w:val="3"/>
  </w:num>
  <w:num w:numId="24">
    <w:abstractNumId w:val="4"/>
  </w:num>
  <w:num w:numId="25">
    <w:abstractNumId w:val="9"/>
  </w:num>
  <w:num w:numId="26">
    <w:abstractNumId w:val="14"/>
  </w:num>
  <w:num w:numId="27">
    <w:abstractNumId w:val="12"/>
  </w:num>
  <w:num w:numId="28">
    <w:abstractNumId w:val="18"/>
  </w:num>
  <w:num w:numId="29">
    <w:abstractNumId w:val="27"/>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2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638"/>
    <w:rsid w:val="000044BC"/>
    <w:rsid w:val="0004065F"/>
    <w:rsid w:val="00040B44"/>
    <w:rsid w:val="00054434"/>
    <w:rsid w:val="0005744D"/>
    <w:rsid w:val="000A44B2"/>
    <w:rsid w:val="000A6CC7"/>
    <w:rsid w:val="000D3E82"/>
    <w:rsid w:val="000D552F"/>
    <w:rsid w:val="000D66A3"/>
    <w:rsid w:val="000F6638"/>
    <w:rsid w:val="00140E0C"/>
    <w:rsid w:val="001C46A4"/>
    <w:rsid w:val="00243C18"/>
    <w:rsid w:val="00253289"/>
    <w:rsid w:val="00263AAF"/>
    <w:rsid w:val="0028358C"/>
    <w:rsid w:val="002A7416"/>
    <w:rsid w:val="002B03DA"/>
    <w:rsid w:val="002D5C03"/>
    <w:rsid w:val="002F48F1"/>
    <w:rsid w:val="003072DD"/>
    <w:rsid w:val="003417B9"/>
    <w:rsid w:val="00352BEE"/>
    <w:rsid w:val="00353AFF"/>
    <w:rsid w:val="00356AB7"/>
    <w:rsid w:val="003635D1"/>
    <w:rsid w:val="003823E9"/>
    <w:rsid w:val="003D6659"/>
    <w:rsid w:val="003F1C6A"/>
    <w:rsid w:val="00407D93"/>
    <w:rsid w:val="00413FC9"/>
    <w:rsid w:val="00430ACC"/>
    <w:rsid w:val="0046476B"/>
    <w:rsid w:val="004C327F"/>
    <w:rsid w:val="004D736E"/>
    <w:rsid w:val="004F1B28"/>
    <w:rsid w:val="005157D2"/>
    <w:rsid w:val="005543F5"/>
    <w:rsid w:val="00575A04"/>
    <w:rsid w:val="005A05AC"/>
    <w:rsid w:val="005A23B4"/>
    <w:rsid w:val="005C3C74"/>
    <w:rsid w:val="005F0342"/>
    <w:rsid w:val="0064205D"/>
    <w:rsid w:val="00670EE7"/>
    <w:rsid w:val="006874D8"/>
    <w:rsid w:val="006C1E5B"/>
    <w:rsid w:val="006C56A3"/>
    <w:rsid w:val="006E422D"/>
    <w:rsid w:val="006F4EC3"/>
    <w:rsid w:val="007068B1"/>
    <w:rsid w:val="0072555A"/>
    <w:rsid w:val="00760EE6"/>
    <w:rsid w:val="00761D5B"/>
    <w:rsid w:val="0076710D"/>
    <w:rsid w:val="007F5FF5"/>
    <w:rsid w:val="0080225D"/>
    <w:rsid w:val="008176AB"/>
    <w:rsid w:val="0083720C"/>
    <w:rsid w:val="008459AB"/>
    <w:rsid w:val="00861B38"/>
    <w:rsid w:val="008B0DA5"/>
    <w:rsid w:val="008D7D4D"/>
    <w:rsid w:val="0090095D"/>
    <w:rsid w:val="00937765"/>
    <w:rsid w:val="0098785A"/>
    <w:rsid w:val="009B0396"/>
    <w:rsid w:val="009B2AE7"/>
    <w:rsid w:val="009D7F87"/>
    <w:rsid w:val="009E7190"/>
    <w:rsid w:val="009F3828"/>
    <w:rsid w:val="00A253A3"/>
    <w:rsid w:val="00A25905"/>
    <w:rsid w:val="00AA690E"/>
    <w:rsid w:val="00AB39D2"/>
    <w:rsid w:val="00AC431E"/>
    <w:rsid w:val="00AF0961"/>
    <w:rsid w:val="00AF7D18"/>
    <w:rsid w:val="00B21EFA"/>
    <w:rsid w:val="00B942E9"/>
    <w:rsid w:val="00B97F44"/>
    <w:rsid w:val="00BA6AA5"/>
    <w:rsid w:val="00BC1863"/>
    <w:rsid w:val="00BE72AC"/>
    <w:rsid w:val="00C27132"/>
    <w:rsid w:val="00C75058"/>
    <w:rsid w:val="00CD51B4"/>
    <w:rsid w:val="00D429E5"/>
    <w:rsid w:val="00D626F4"/>
    <w:rsid w:val="00D7028F"/>
    <w:rsid w:val="00D96C6A"/>
    <w:rsid w:val="00DC5F6E"/>
    <w:rsid w:val="00DD18CE"/>
    <w:rsid w:val="00DE03A5"/>
    <w:rsid w:val="00E54E09"/>
    <w:rsid w:val="00E656B6"/>
    <w:rsid w:val="00EA0BFE"/>
    <w:rsid w:val="00EB15FC"/>
    <w:rsid w:val="00EE4FB4"/>
    <w:rsid w:val="00F52578"/>
    <w:rsid w:val="00FA50BC"/>
    <w:rsid w:val="00FB5D6F"/>
    <w:rsid w:val="00FF3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9B578"/>
  <w15:docId w15:val="{A9E38030-54A5-4152-B7BA-E5D25395B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Gach -,Gach-,List Paragraph1,List Paragraph (numbered (a)),References,List_Paragraph,Multilevel para_II,Citation List,Resume Title,ANNEX,List Paragraph2,List Paragraph12,gạch &quot;-&quot;,bullet,Gạch đầu dòng,No Spacing1,Bullet 2"/>
    <w:basedOn w:val="Normal"/>
    <w:link w:val="ListParagraphChar"/>
    <w:uiPriority w:val="34"/>
    <w:qFormat/>
    <w:pPr>
      <w:spacing w:after="0" w:line="240" w:lineRule="auto"/>
      <w:ind w:left="720"/>
      <w:contextualSpacing/>
    </w:pPr>
    <w:rPr>
      <w:rFonts w:ascii="Times New Roman" w:eastAsia="Times New Roman" w:hAnsi="Times New Roman" w:cs="Times New Roman"/>
      <w:sz w:val="24"/>
      <w:szCs w:val="24"/>
      <w:lang w:val="vi-VN" w:eastAsia="vi-VN"/>
    </w:rPr>
  </w:style>
  <w:style w:type="paragraph" w:styleId="NormalWeb">
    <w:name w:val="Normal (Web)"/>
    <w:aliases w:val="Обычный (веб)1,Обычный (веб) Знак,Обычный (веб) Знак1,Обычный (веб) Знак Знак"/>
    <w:basedOn w:val="Normal"/>
    <w:link w:val="NormalWebChar"/>
    <w:uiPriority w:val="99"/>
    <w:unhideWhenUsed/>
    <w:qFormat/>
    <w:pPr>
      <w:spacing w:before="100" w:beforeAutospacing="1" w:after="100" w:afterAutospacing="1" w:line="240" w:lineRule="auto"/>
    </w:pPr>
    <w:rPr>
      <w:rFonts w:ascii="Times New Roman" w:eastAsia="MS Mincho" w:hAnsi="Times New Roman" w:cs="Times New Roman"/>
      <w:sz w:val="24"/>
      <w:szCs w:val="24"/>
      <w:lang w:eastAsia="ja-JP"/>
    </w:rPr>
  </w:style>
  <w:style w:type="character" w:customStyle="1" w:styleId="NormalWebChar">
    <w:name w:val="Normal (Web) Char"/>
    <w:aliases w:val="Обычный (веб)1 Char,Обычный (веб) Знак Char,Обычный (веб) Знак1 Char,Обычный (веб) Знак Знак Char"/>
    <w:link w:val="NormalWeb"/>
    <w:locked/>
    <w:rPr>
      <w:rFonts w:ascii="Times New Roman" w:eastAsia="MS Mincho" w:hAnsi="Times New Roman" w:cs="Times New Roman"/>
      <w:sz w:val="24"/>
      <w:szCs w:val="24"/>
      <w:lang w:eastAsia="ja-JP"/>
    </w:rPr>
  </w:style>
  <w:style w:type="character" w:styleId="Hyperlink">
    <w:name w:val="Hyperlink"/>
    <w:uiPriority w:val="99"/>
    <w:unhideWhenUsed/>
    <w:rPr>
      <w:color w:val="0000FF"/>
      <w:u w:val="single"/>
    </w:rPr>
  </w:style>
  <w:style w:type="paragraph" w:styleId="BodyText">
    <w:name w:val="Body Text"/>
    <w:basedOn w:val="Normal"/>
    <w:link w:val="BodyTextChar"/>
    <w:uiPriority w:val="99"/>
    <w:unhideWhenUsed/>
    <w:pPr>
      <w:spacing w:after="120" w:line="240" w:lineRule="auto"/>
    </w:pPr>
    <w:rPr>
      <w:rFonts w:ascii="Times New Roman" w:eastAsia="Times New Roman" w:hAnsi="Times New Roman" w:cs="Times New Roman"/>
      <w:sz w:val="24"/>
      <w:szCs w:val="24"/>
      <w:lang w:val="vi-VN" w:eastAsia="vi-VN"/>
    </w:rPr>
  </w:style>
  <w:style w:type="character" w:customStyle="1" w:styleId="BodyTextChar">
    <w:name w:val="Body Text Char"/>
    <w:basedOn w:val="DefaultParagraphFont"/>
    <w:link w:val="BodyText"/>
    <w:uiPriority w:val="99"/>
    <w:rPr>
      <w:rFonts w:ascii="Times New Roman" w:eastAsia="Times New Roman" w:hAnsi="Times New Roman" w:cs="Times New Roman"/>
      <w:sz w:val="24"/>
      <w:szCs w:val="24"/>
      <w:lang w:val="vi-VN" w:eastAsia="vi-VN"/>
    </w:rPr>
  </w:style>
  <w:style w:type="paragraph" w:styleId="NoSpacing">
    <w:name w:val="No Spacing"/>
    <w:uiPriority w:val="1"/>
    <w:qFormat/>
    <w:pPr>
      <w:spacing w:after="0" w:line="240" w:lineRule="auto"/>
    </w:pPr>
    <w:rPr>
      <w:rFonts w:ascii="Times New Roman" w:eastAsia="Times New Roman" w:hAnsi="Times New Roman" w:cs="Times New Roman"/>
      <w:sz w:val="24"/>
      <w:szCs w:val="24"/>
      <w:lang w:val="vi-VN" w:eastAsia="vi-VN"/>
    </w:rPr>
  </w:style>
  <w:style w:type="character" w:customStyle="1" w:styleId="ListParagraphChar">
    <w:name w:val="List Paragraph Char"/>
    <w:aliases w:val="Gach - Char,Gach- Char,List Paragraph1 Char,List Paragraph (numbered (a)) Char,References Char,List_Paragraph Char,Multilevel para_II Char,Citation List Char,Resume Title Char,ANNEX Char,List Paragraph2 Char,List Paragraph12 Char"/>
    <w:link w:val="ListParagraph"/>
    <w:uiPriority w:val="34"/>
    <w:locked/>
    <w:rPr>
      <w:rFonts w:ascii="Times New Roman" w:eastAsia="Times New Roman" w:hAnsi="Times New Roman" w:cs="Times New Roman"/>
      <w:sz w:val="24"/>
      <w:szCs w:val="24"/>
      <w:lang w:val="vi-VN" w:eastAsia="vi-VN"/>
    </w:rPr>
  </w:style>
  <w:style w:type="character" w:customStyle="1" w:styleId="fontstyle01">
    <w:name w:val="fontstyle01"/>
    <w:rPr>
      <w:rFonts w:ascii="Times New Roman" w:hAnsi="Times New Roman" w:cs="Times New Roman" w:hint="default"/>
      <w:b w:val="0"/>
      <w:bCs w:val="0"/>
      <w:i w:val="0"/>
      <w:iCs w:val="0"/>
      <w:color w:val="000000"/>
      <w:sz w:val="28"/>
      <w:szCs w:val="28"/>
    </w:rPr>
  </w:style>
  <w:style w:type="character" w:customStyle="1" w:styleId="text">
    <w:name w:val="text"/>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Char">
    <w:name w:val="Char"/>
    <w:basedOn w:val="Normal"/>
    <w:autoRedefine/>
    <w:rsid w:val="00B21EFA"/>
    <w:pPr>
      <w:spacing w:after="160" w:line="240" w:lineRule="exact"/>
    </w:pPr>
    <w:rPr>
      <w:rFonts w:ascii="Verdana" w:eastAsia="Times New Roman"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322">
      <w:bodyDiv w:val="1"/>
      <w:marLeft w:val="0"/>
      <w:marRight w:val="0"/>
      <w:marTop w:val="0"/>
      <w:marBottom w:val="0"/>
      <w:divBdr>
        <w:top w:val="none" w:sz="0" w:space="0" w:color="auto"/>
        <w:left w:val="none" w:sz="0" w:space="0" w:color="auto"/>
        <w:bottom w:val="none" w:sz="0" w:space="0" w:color="auto"/>
        <w:right w:val="none" w:sz="0" w:space="0" w:color="auto"/>
      </w:divBdr>
    </w:div>
    <w:div w:id="33777167">
      <w:bodyDiv w:val="1"/>
      <w:marLeft w:val="0"/>
      <w:marRight w:val="0"/>
      <w:marTop w:val="0"/>
      <w:marBottom w:val="0"/>
      <w:divBdr>
        <w:top w:val="none" w:sz="0" w:space="0" w:color="auto"/>
        <w:left w:val="none" w:sz="0" w:space="0" w:color="auto"/>
        <w:bottom w:val="none" w:sz="0" w:space="0" w:color="auto"/>
        <w:right w:val="none" w:sz="0" w:space="0" w:color="auto"/>
      </w:divBdr>
    </w:div>
    <w:div w:id="339739565">
      <w:bodyDiv w:val="1"/>
      <w:marLeft w:val="0"/>
      <w:marRight w:val="0"/>
      <w:marTop w:val="0"/>
      <w:marBottom w:val="0"/>
      <w:divBdr>
        <w:top w:val="none" w:sz="0" w:space="0" w:color="auto"/>
        <w:left w:val="none" w:sz="0" w:space="0" w:color="auto"/>
        <w:bottom w:val="none" w:sz="0" w:space="0" w:color="auto"/>
        <w:right w:val="none" w:sz="0" w:space="0" w:color="auto"/>
      </w:divBdr>
    </w:div>
    <w:div w:id="383405501">
      <w:bodyDiv w:val="1"/>
      <w:marLeft w:val="0"/>
      <w:marRight w:val="0"/>
      <w:marTop w:val="0"/>
      <w:marBottom w:val="0"/>
      <w:divBdr>
        <w:top w:val="none" w:sz="0" w:space="0" w:color="auto"/>
        <w:left w:val="none" w:sz="0" w:space="0" w:color="auto"/>
        <w:bottom w:val="none" w:sz="0" w:space="0" w:color="auto"/>
        <w:right w:val="none" w:sz="0" w:space="0" w:color="auto"/>
      </w:divBdr>
    </w:div>
    <w:div w:id="408577040">
      <w:bodyDiv w:val="1"/>
      <w:marLeft w:val="0"/>
      <w:marRight w:val="0"/>
      <w:marTop w:val="0"/>
      <w:marBottom w:val="0"/>
      <w:divBdr>
        <w:top w:val="none" w:sz="0" w:space="0" w:color="auto"/>
        <w:left w:val="none" w:sz="0" w:space="0" w:color="auto"/>
        <w:bottom w:val="none" w:sz="0" w:space="0" w:color="auto"/>
        <w:right w:val="none" w:sz="0" w:space="0" w:color="auto"/>
      </w:divBdr>
    </w:div>
    <w:div w:id="412817499">
      <w:bodyDiv w:val="1"/>
      <w:marLeft w:val="0"/>
      <w:marRight w:val="0"/>
      <w:marTop w:val="0"/>
      <w:marBottom w:val="0"/>
      <w:divBdr>
        <w:top w:val="none" w:sz="0" w:space="0" w:color="auto"/>
        <w:left w:val="none" w:sz="0" w:space="0" w:color="auto"/>
        <w:bottom w:val="none" w:sz="0" w:space="0" w:color="auto"/>
        <w:right w:val="none" w:sz="0" w:space="0" w:color="auto"/>
      </w:divBdr>
    </w:div>
    <w:div w:id="476536806">
      <w:bodyDiv w:val="1"/>
      <w:marLeft w:val="0"/>
      <w:marRight w:val="0"/>
      <w:marTop w:val="0"/>
      <w:marBottom w:val="0"/>
      <w:divBdr>
        <w:top w:val="none" w:sz="0" w:space="0" w:color="auto"/>
        <w:left w:val="none" w:sz="0" w:space="0" w:color="auto"/>
        <w:bottom w:val="none" w:sz="0" w:space="0" w:color="auto"/>
        <w:right w:val="none" w:sz="0" w:space="0" w:color="auto"/>
      </w:divBdr>
    </w:div>
    <w:div w:id="511602591">
      <w:bodyDiv w:val="1"/>
      <w:marLeft w:val="0"/>
      <w:marRight w:val="0"/>
      <w:marTop w:val="0"/>
      <w:marBottom w:val="0"/>
      <w:divBdr>
        <w:top w:val="none" w:sz="0" w:space="0" w:color="auto"/>
        <w:left w:val="none" w:sz="0" w:space="0" w:color="auto"/>
        <w:bottom w:val="none" w:sz="0" w:space="0" w:color="auto"/>
        <w:right w:val="none" w:sz="0" w:space="0" w:color="auto"/>
      </w:divBdr>
    </w:div>
    <w:div w:id="563107371">
      <w:bodyDiv w:val="1"/>
      <w:marLeft w:val="0"/>
      <w:marRight w:val="0"/>
      <w:marTop w:val="0"/>
      <w:marBottom w:val="0"/>
      <w:divBdr>
        <w:top w:val="none" w:sz="0" w:space="0" w:color="auto"/>
        <w:left w:val="none" w:sz="0" w:space="0" w:color="auto"/>
        <w:bottom w:val="none" w:sz="0" w:space="0" w:color="auto"/>
        <w:right w:val="none" w:sz="0" w:space="0" w:color="auto"/>
      </w:divBdr>
    </w:div>
    <w:div w:id="693505238">
      <w:bodyDiv w:val="1"/>
      <w:marLeft w:val="0"/>
      <w:marRight w:val="0"/>
      <w:marTop w:val="0"/>
      <w:marBottom w:val="0"/>
      <w:divBdr>
        <w:top w:val="none" w:sz="0" w:space="0" w:color="auto"/>
        <w:left w:val="none" w:sz="0" w:space="0" w:color="auto"/>
        <w:bottom w:val="none" w:sz="0" w:space="0" w:color="auto"/>
        <w:right w:val="none" w:sz="0" w:space="0" w:color="auto"/>
      </w:divBdr>
    </w:div>
    <w:div w:id="906502227">
      <w:bodyDiv w:val="1"/>
      <w:marLeft w:val="0"/>
      <w:marRight w:val="0"/>
      <w:marTop w:val="0"/>
      <w:marBottom w:val="0"/>
      <w:divBdr>
        <w:top w:val="none" w:sz="0" w:space="0" w:color="auto"/>
        <w:left w:val="none" w:sz="0" w:space="0" w:color="auto"/>
        <w:bottom w:val="none" w:sz="0" w:space="0" w:color="auto"/>
        <w:right w:val="none" w:sz="0" w:space="0" w:color="auto"/>
      </w:divBdr>
    </w:div>
    <w:div w:id="1103067252">
      <w:bodyDiv w:val="1"/>
      <w:marLeft w:val="0"/>
      <w:marRight w:val="0"/>
      <w:marTop w:val="0"/>
      <w:marBottom w:val="0"/>
      <w:divBdr>
        <w:top w:val="none" w:sz="0" w:space="0" w:color="auto"/>
        <w:left w:val="none" w:sz="0" w:space="0" w:color="auto"/>
        <w:bottom w:val="none" w:sz="0" w:space="0" w:color="auto"/>
        <w:right w:val="none" w:sz="0" w:space="0" w:color="auto"/>
      </w:divBdr>
    </w:div>
    <w:div w:id="1125656483">
      <w:bodyDiv w:val="1"/>
      <w:marLeft w:val="0"/>
      <w:marRight w:val="0"/>
      <w:marTop w:val="0"/>
      <w:marBottom w:val="0"/>
      <w:divBdr>
        <w:top w:val="none" w:sz="0" w:space="0" w:color="auto"/>
        <w:left w:val="none" w:sz="0" w:space="0" w:color="auto"/>
        <w:bottom w:val="none" w:sz="0" w:space="0" w:color="auto"/>
        <w:right w:val="none" w:sz="0" w:space="0" w:color="auto"/>
      </w:divBdr>
    </w:div>
    <w:div w:id="1368219232">
      <w:bodyDiv w:val="1"/>
      <w:marLeft w:val="0"/>
      <w:marRight w:val="0"/>
      <w:marTop w:val="0"/>
      <w:marBottom w:val="0"/>
      <w:divBdr>
        <w:top w:val="none" w:sz="0" w:space="0" w:color="auto"/>
        <w:left w:val="none" w:sz="0" w:space="0" w:color="auto"/>
        <w:bottom w:val="none" w:sz="0" w:space="0" w:color="auto"/>
        <w:right w:val="none" w:sz="0" w:space="0" w:color="auto"/>
      </w:divBdr>
    </w:div>
    <w:div w:id="1544781465">
      <w:bodyDiv w:val="1"/>
      <w:marLeft w:val="0"/>
      <w:marRight w:val="0"/>
      <w:marTop w:val="0"/>
      <w:marBottom w:val="0"/>
      <w:divBdr>
        <w:top w:val="none" w:sz="0" w:space="0" w:color="auto"/>
        <w:left w:val="none" w:sz="0" w:space="0" w:color="auto"/>
        <w:bottom w:val="none" w:sz="0" w:space="0" w:color="auto"/>
        <w:right w:val="none" w:sz="0" w:space="0" w:color="auto"/>
      </w:divBdr>
    </w:div>
    <w:div w:id="1650985470">
      <w:bodyDiv w:val="1"/>
      <w:marLeft w:val="0"/>
      <w:marRight w:val="0"/>
      <w:marTop w:val="0"/>
      <w:marBottom w:val="0"/>
      <w:divBdr>
        <w:top w:val="none" w:sz="0" w:space="0" w:color="auto"/>
        <w:left w:val="none" w:sz="0" w:space="0" w:color="auto"/>
        <w:bottom w:val="none" w:sz="0" w:space="0" w:color="auto"/>
        <w:right w:val="none" w:sz="0" w:space="0" w:color="auto"/>
      </w:divBdr>
    </w:div>
    <w:div w:id="1675107935">
      <w:bodyDiv w:val="1"/>
      <w:marLeft w:val="0"/>
      <w:marRight w:val="0"/>
      <w:marTop w:val="0"/>
      <w:marBottom w:val="0"/>
      <w:divBdr>
        <w:top w:val="none" w:sz="0" w:space="0" w:color="auto"/>
        <w:left w:val="none" w:sz="0" w:space="0" w:color="auto"/>
        <w:bottom w:val="none" w:sz="0" w:space="0" w:color="auto"/>
        <w:right w:val="none" w:sz="0" w:space="0" w:color="auto"/>
      </w:divBdr>
    </w:div>
    <w:div w:id="1740976986">
      <w:bodyDiv w:val="1"/>
      <w:marLeft w:val="0"/>
      <w:marRight w:val="0"/>
      <w:marTop w:val="0"/>
      <w:marBottom w:val="0"/>
      <w:divBdr>
        <w:top w:val="none" w:sz="0" w:space="0" w:color="auto"/>
        <w:left w:val="none" w:sz="0" w:space="0" w:color="auto"/>
        <w:bottom w:val="none" w:sz="0" w:space="0" w:color="auto"/>
        <w:right w:val="none" w:sz="0" w:space="0" w:color="auto"/>
      </w:divBdr>
    </w:div>
    <w:div w:id="1812597608">
      <w:bodyDiv w:val="1"/>
      <w:marLeft w:val="0"/>
      <w:marRight w:val="0"/>
      <w:marTop w:val="0"/>
      <w:marBottom w:val="0"/>
      <w:divBdr>
        <w:top w:val="none" w:sz="0" w:space="0" w:color="auto"/>
        <w:left w:val="none" w:sz="0" w:space="0" w:color="auto"/>
        <w:bottom w:val="none" w:sz="0" w:space="0" w:color="auto"/>
        <w:right w:val="none" w:sz="0" w:space="0" w:color="auto"/>
      </w:divBdr>
    </w:div>
    <w:div w:id="1831478998">
      <w:bodyDiv w:val="1"/>
      <w:marLeft w:val="0"/>
      <w:marRight w:val="0"/>
      <w:marTop w:val="0"/>
      <w:marBottom w:val="0"/>
      <w:divBdr>
        <w:top w:val="none" w:sz="0" w:space="0" w:color="auto"/>
        <w:left w:val="none" w:sz="0" w:space="0" w:color="auto"/>
        <w:bottom w:val="none" w:sz="0" w:space="0" w:color="auto"/>
        <w:right w:val="none" w:sz="0" w:space="0" w:color="auto"/>
      </w:divBdr>
    </w:div>
    <w:div w:id="1943297499">
      <w:bodyDiv w:val="1"/>
      <w:marLeft w:val="0"/>
      <w:marRight w:val="0"/>
      <w:marTop w:val="0"/>
      <w:marBottom w:val="0"/>
      <w:divBdr>
        <w:top w:val="none" w:sz="0" w:space="0" w:color="auto"/>
        <w:left w:val="none" w:sz="0" w:space="0" w:color="auto"/>
        <w:bottom w:val="none" w:sz="0" w:space="0" w:color="auto"/>
        <w:right w:val="none" w:sz="0" w:space="0" w:color="auto"/>
      </w:divBdr>
    </w:div>
    <w:div w:id="2128545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2FE27-600F-4886-AEC8-7AD6EFB41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4060</Words>
  <Characters>23148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cp:lastPrinted>2025-06-13T01:30:00Z</cp:lastPrinted>
  <dcterms:created xsi:type="dcterms:W3CDTF">2025-09-08T09:59:00Z</dcterms:created>
  <dcterms:modified xsi:type="dcterms:W3CDTF">2025-10-22T08:02:00Z</dcterms:modified>
</cp:coreProperties>
</file>